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451C76">
      <w:pPr>
        <w:jc w:val="center"/>
        <w:rPr>
          <w:rFonts w:hint="eastAsia" w:asciiTheme="minorEastAsia" w:hAnsiTheme="minorEastAsia"/>
          <w:b/>
          <w:sz w:val="32"/>
          <w:szCs w:val="32"/>
        </w:rPr>
      </w:pPr>
      <w:r>
        <w:rPr>
          <w:rFonts w:hint="eastAsia" w:asciiTheme="minorEastAsia" w:hAnsiTheme="minorEastAsia"/>
          <w:b/>
          <w:sz w:val="32"/>
          <w:szCs w:val="32"/>
        </w:rPr>
        <w:t>南宁仓库202</w:t>
      </w:r>
      <w:r>
        <w:rPr>
          <w:rFonts w:hint="eastAsia" w:asciiTheme="minorEastAsia" w:hAnsiTheme="minorEastAsia"/>
          <w:b/>
          <w:sz w:val="32"/>
          <w:szCs w:val="32"/>
          <w:lang w:val="en-US" w:eastAsia="zh-CN"/>
        </w:rPr>
        <w:t>4-2025</w:t>
      </w:r>
      <w:r>
        <w:rPr>
          <w:rFonts w:hint="eastAsia" w:asciiTheme="minorEastAsia" w:hAnsiTheme="minorEastAsia"/>
          <w:b/>
          <w:sz w:val="32"/>
          <w:szCs w:val="32"/>
        </w:rPr>
        <w:t>年</w:t>
      </w:r>
      <w:r>
        <w:rPr>
          <w:rFonts w:asciiTheme="minorEastAsia" w:hAnsiTheme="minorEastAsia"/>
          <w:b/>
          <w:sz w:val="32"/>
          <w:szCs w:val="32"/>
        </w:rPr>
        <w:t>物流运输</w:t>
      </w:r>
      <w:r>
        <w:rPr>
          <w:rFonts w:hint="eastAsia" w:asciiTheme="minorEastAsia" w:hAnsiTheme="minorEastAsia"/>
          <w:b/>
          <w:sz w:val="32"/>
          <w:szCs w:val="32"/>
          <w:lang w:eastAsia="zh-CN"/>
        </w:rPr>
        <w:t>项目询比</w:t>
      </w:r>
      <w:r>
        <w:rPr>
          <w:rFonts w:hint="eastAsia" w:asciiTheme="minorEastAsia" w:hAnsiTheme="minorEastAsia"/>
          <w:b/>
          <w:sz w:val="32"/>
          <w:szCs w:val="32"/>
        </w:rPr>
        <w:t>文件</w:t>
      </w:r>
    </w:p>
    <w:p w14:paraId="37347CD3">
      <w:pPr>
        <w:jc w:val="center"/>
        <w:rPr>
          <w:rFonts w:hint="eastAsia" w:asciiTheme="minorEastAsia" w:hAnsiTheme="minorEastAsia"/>
          <w:b/>
          <w:sz w:val="32"/>
          <w:szCs w:val="32"/>
        </w:rPr>
      </w:pPr>
      <w:r>
        <w:rPr>
          <w:rFonts w:hint="eastAsia" w:asciiTheme="minorEastAsia" w:hAnsiTheme="minorEastAsia"/>
          <w:b/>
          <w:sz w:val="32"/>
          <w:szCs w:val="32"/>
        </w:rPr>
        <w:t>广西双钱健康产业股份有限公司</w:t>
      </w:r>
    </w:p>
    <w:p w14:paraId="40CD9CFC">
      <w:pPr>
        <w:pStyle w:val="12"/>
        <w:numPr>
          <w:ilvl w:val="0"/>
          <w:numId w:val="1"/>
        </w:numPr>
        <w:ind w:firstLineChars="0"/>
        <w:rPr>
          <w:rFonts w:asciiTheme="minorEastAsia" w:hAnsiTheme="minorEastAsia"/>
          <w:b/>
          <w:sz w:val="28"/>
          <w:szCs w:val="28"/>
        </w:rPr>
      </w:pPr>
      <w:r>
        <w:rPr>
          <w:rFonts w:asciiTheme="minorEastAsia" w:hAnsiTheme="minorEastAsia"/>
          <w:b/>
          <w:sz w:val="28"/>
          <w:szCs w:val="28"/>
        </w:rPr>
        <w:t>项目</w:t>
      </w:r>
      <w:r>
        <w:rPr>
          <w:rFonts w:hint="eastAsia" w:asciiTheme="minorEastAsia" w:hAnsiTheme="minorEastAsia"/>
          <w:b/>
          <w:sz w:val="28"/>
          <w:szCs w:val="28"/>
          <w:lang w:eastAsia="zh-CN"/>
        </w:rPr>
        <w:t>概况</w:t>
      </w:r>
    </w:p>
    <w:p w14:paraId="4A90362C">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val="en-US" w:eastAsia="zh-CN"/>
        </w:rPr>
        <w:t>1.1</w:t>
      </w:r>
      <w:r>
        <w:rPr>
          <w:rFonts w:hint="eastAsia" w:asciiTheme="minorEastAsia" w:hAnsiTheme="minorEastAsia"/>
          <w:sz w:val="28"/>
          <w:szCs w:val="28"/>
          <w:lang w:eastAsia="zh-CN"/>
        </w:rPr>
        <w:t>项目要求和实施地点：</w:t>
      </w:r>
      <w:r>
        <w:rPr>
          <w:rFonts w:hint="eastAsia" w:asciiTheme="minorEastAsia" w:hAnsiTheme="minorEastAsia"/>
          <w:sz w:val="28"/>
          <w:szCs w:val="28"/>
        </w:rPr>
        <w:t>南宁基地仓库（包含食品类、饮用水、其它龟苓膏类产品及其宣传材料和生产所需相关物资等）始发全国各地的运输价格</w:t>
      </w:r>
      <w:r>
        <w:rPr>
          <w:rFonts w:hint="eastAsia" w:asciiTheme="minorEastAsia" w:hAnsiTheme="minorEastAsia"/>
          <w:sz w:val="28"/>
          <w:szCs w:val="28"/>
          <w:lang w:eastAsia="zh-CN"/>
        </w:rPr>
        <w:t>（含南宁市同城配送）；</w:t>
      </w:r>
      <w:r>
        <w:rPr>
          <w:rFonts w:hint="eastAsia" w:asciiTheme="minorEastAsia" w:hAnsiTheme="minorEastAsia"/>
          <w:sz w:val="28"/>
          <w:szCs w:val="28"/>
        </w:rPr>
        <w:t>南宁基地货物装、卸价格及配送增值服务价格（如空车费、压车费、上楼服务、卸货费、多点卸货等额外增值服务）</w:t>
      </w:r>
      <w:r>
        <w:rPr>
          <w:rFonts w:hint="eastAsia" w:asciiTheme="minorEastAsia" w:hAnsiTheme="minorEastAsia"/>
          <w:sz w:val="28"/>
          <w:szCs w:val="28"/>
          <w:lang w:eastAsia="zh-CN"/>
        </w:rPr>
        <w:t>及甲方所辖广西区其它类型的货物运输价格。</w:t>
      </w:r>
    </w:p>
    <w:p w14:paraId="4C35A992">
      <w:pPr>
        <w:ind w:firstLine="560" w:firstLineChars="200"/>
        <w:rPr>
          <w:rFonts w:hint="eastAsia" w:asciiTheme="minorEastAsia" w:hAnsiTheme="minorEastAsia"/>
          <w:sz w:val="28"/>
          <w:szCs w:val="28"/>
          <w:highlight w:val="none"/>
          <w:lang w:val="en-US" w:eastAsia="zh-CN"/>
        </w:rPr>
      </w:pPr>
      <w:r>
        <w:rPr>
          <w:rFonts w:hint="eastAsia" w:asciiTheme="minorEastAsia" w:hAnsiTheme="minorEastAsia"/>
          <w:sz w:val="28"/>
          <w:szCs w:val="28"/>
          <w:highlight w:val="none"/>
          <w:lang w:val="en-US" w:eastAsia="zh-CN"/>
        </w:rPr>
        <w:t>1.2 项目规模：2025年运量预估约400.2吨，其中南宁基地仓库纯装、卸需求约40吨，南宁市同城配送149.6吨/182票，其余均为物流运输业务量。</w:t>
      </w:r>
    </w:p>
    <w:p w14:paraId="70797A83">
      <w:pPr>
        <w:ind w:firstLine="560" w:firstLineChars="200"/>
        <w:rPr>
          <w:rFonts w:hint="eastAsia" w:asciiTheme="minorEastAsia" w:hAnsiTheme="minorEastAsia"/>
          <w:sz w:val="28"/>
          <w:szCs w:val="28"/>
          <w:lang w:val="en-US" w:eastAsia="zh-CN"/>
        </w:rPr>
      </w:pPr>
      <w:r>
        <w:rPr>
          <w:rFonts w:hint="eastAsia" w:asciiTheme="minorEastAsia" w:hAnsiTheme="minorEastAsia"/>
          <w:sz w:val="28"/>
          <w:szCs w:val="28"/>
          <w:lang w:val="en-US" w:eastAsia="zh-CN"/>
        </w:rPr>
        <w:t>1.3 合同预估金额：11万元（含9%增值税运输专票），2025年实际运量以甲方实际发生业务量为准。</w:t>
      </w:r>
    </w:p>
    <w:p w14:paraId="21AE6213">
      <w:pPr>
        <w:ind w:firstLine="560" w:firstLineChars="200"/>
        <w:rPr>
          <w:rFonts w:hint="default"/>
          <w:lang w:val="en-US" w:eastAsia="zh-CN"/>
        </w:rPr>
      </w:pPr>
      <w:r>
        <w:rPr>
          <w:rFonts w:hint="eastAsia" w:asciiTheme="minorEastAsia" w:hAnsiTheme="minorEastAsia"/>
          <w:sz w:val="28"/>
          <w:szCs w:val="28"/>
          <w:lang w:val="en-US" w:eastAsia="zh-CN"/>
        </w:rPr>
        <w:t>1.4 服务期限：自合同签订之日起1年，最终按照实际委托运输量进行结算。</w:t>
      </w:r>
    </w:p>
    <w:p w14:paraId="6EC8E89A">
      <w:pPr>
        <w:rPr>
          <w:rFonts w:hint="eastAsia" w:asciiTheme="minorEastAsia" w:hAnsiTheme="minorEastAsia"/>
          <w:b/>
          <w:bCs/>
          <w:sz w:val="28"/>
          <w:szCs w:val="28"/>
          <w:lang w:eastAsia="zh-CN"/>
        </w:rPr>
      </w:pPr>
      <w:r>
        <w:rPr>
          <w:rFonts w:hint="eastAsia" w:asciiTheme="minorEastAsia" w:hAnsiTheme="minorEastAsia"/>
          <w:b/>
          <w:bCs/>
          <w:sz w:val="28"/>
          <w:szCs w:val="28"/>
          <w:lang w:eastAsia="zh-CN"/>
        </w:rPr>
        <w:t>二、投标人资格要求：</w:t>
      </w:r>
    </w:p>
    <w:p w14:paraId="4B76431C">
      <w:pPr>
        <w:ind w:firstLine="560" w:firstLineChars="200"/>
        <w:rPr>
          <w:rFonts w:asciiTheme="minorEastAsia" w:hAnsiTheme="minorEastAsia"/>
          <w:sz w:val="28"/>
          <w:szCs w:val="28"/>
        </w:rPr>
      </w:pPr>
      <w:r>
        <w:rPr>
          <w:rFonts w:hint="eastAsia" w:asciiTheme="minorEastAsia" w:hAnsiTheme="minorEastAsia"/>
          <w:sz w:val="28"/>
          <w:szCs w:val="28"/>
          <w:lang w:val="en-US" w:eastAsia="zh-CN"/>
        </w:rPr>
        <w:t>1、</w:t>
      </w:r>
      <w:r>
        <w:rPr>
          <w:rFonts w:hint="eastAsia" w:asciiTheme="minorEastAsia" w:hAnsiTheme="minorEastAsia"/>
          <w:sz w:val="28"/>
          <w:szCs w:val="28"/>
        </w:rPr>
        <w:t>应标方具有独立承担民事责任的能力，须为中华人民共和国境内注册的独立法人企业或者</w:t>
      </w:r>
      <w:r>
        <w:rPr>
          <w:rFonts w:asciiTheme="minorEastAsia" w:hAnsiTheme="minorEastAsia"/>
          <w:sz w:val="28"/>
          <w:szCs w:val="28"/>
        </w:rPr>
        <w:t>其</w:t>
      </w:r>
      <w:r>
        <w:rPr>
          <w:rFonts w:hint="eastAsia" w:asciiTheme="minorEastAsia" w:hAnsiTheme="minorEastAsia"/>
          <w:sz w:val="28"/>
          <w:szCs w:val="28"/>
        </w:rPr>
        <w:t>他</w:t>
      </w:r>
      <w:r>
        <w:rPr>
          <w:rFonts w:asciiTheme="minorEastAsia" w:hAnsiTheme="minorEastAsia"/>
          <w:sz w:val="28"/>
          <w:szCs w:val="28"/>
        </w:rPr>
        <w:t>组织</w:t>
      </w:r>
      <w:r>
        <w:rPr>
          <w:rFonts w:hint="eastAsia" w:asciiTheme="minorEastAsia" w:hAnsiTheme="minorEastAsia"/>
          <w:sz w:val="28"/>
          <w:szCs w:val="28"/>
        </w:rPr>
        <w:t>，具备有效的营业执照且不得超出经营范围进行投标。（提供有效的营业执照且经营范围包括货物运输服务相关业务；没有处于被责令停业，投标资格被取消，财产被接管、冻结、破产状态）。</w:t>
      </w:r>
    </w:p>
    <w:p w14:paraId="44F37123">
      <w:pPr>
        <w:ind w:firstLine="560" w:firstLineChars="200"/>
        <w:rPr>
          <w:rFonts w:asciiTheme="minorEastAsia" w:hAnsiTheme="minorEastAsia"/>
          <w:color w:val="000000"/>
          <w:kern w:val="0"/>
          <w:sz w:val="28"/>
          <w:szCs w:val="28"/>
        </w:rPr>
      </w:pPr>
      <w:r>
        <w:rPr>
          <w:rFonts w:hint="eastAsia" w:asciiTheme="minorEastAsia" w:hAnsiTheme="minorEastAsia"/>
          <w:sz w:val="28"/>
          <w:szCs w:val="28"/>
        </w:rPr>
        <w:t>2、</w:t>
      </w:r>
      <w:r>
        <w:rPr>
          <w:rFonts w:hint="eastAsia" w:asciiTheme="minorEastAsia" w:hAnsiTheme="minorEastAsia"/>
          <w:color w:val="000000"/>
          <w:kern w:val="0"/>
          <w:sz w:val="28"/>
          <w:szCs w:val="28"/>
        </w:rPr>
        <w:t>应标方须具有合法、有效的《道路运输经营许可证》。</w:t>
      </w:r>
    </w:p>
    <w:p w14:paraId="707461DE">
      <w:pPr>
        <w:ind w:firstLine="560" w:firstLineChars="200"/>
        <w:rPr>
          <w:rFonts w:hint="eastAsia" w:asciiTheme="minorEastAsia" w:hAnsiTheme="minorEastAsia"/>
          <w:sz w:val="28"/>
          <w:szCs w:val="28"/>
          <w:lang w:val="en-US" w:eastAsia="zh-CN"/>
        </w:rPr>
      </w:pPr>
      <w:r>
        <w:rPr>
          <w:rFonts w:hint="eastAsia" w:asciiTheme="minorEastAsia" w:hAnsiTheme="minorEastAsia"/>
          <w:sz w:val="28"/>
          <w:szCs w:val="28"/>
          <w:lang w:val="en-US" w:eastAsia="zh-CN"/>
        </w:rPr>
        <w:t>3、投标人自2021年1月1日至投标截止日（以合同签订时间为准)至少具有2个涵盖4个省（直辖市）及以上的食品或普通货物运输项目合同业绩（至少提供1个食品运输业绩），需提供合同首页、范围页和签字盖章页及相关证明材料。</w:t>
      </w:r>
    </w:p>
    <w:p w14:paraId="5A7C3838">
      <w:pPr>
        <w:rPr>
          <w:rFonts w:hint="eastAsia" w:asciiTheme="minorEastAsia" w:hAnsiTheme="minorEastAsia"/>
          <w:b/>
          <w:sz w:val="28"/>
          <w:szCs w:val="28"/>
        </w:rPr>
      </w:pPr>
      <w:r>
        <w:rPr>
          <w:rFonts w:hint="eastAsia" w:asciiTheme="minorEastAsia" w:hAnsiTheme="minorEastAsia"/>
          <w:b/>
          <w:sz w:val="28"/>
          <w:szCs w:val="28"/>
          <w:lang w:eastAsia="zh-CN"/>
        </w:rPr>
        <w:t>三</w:t>
      </w:r>
      <w:r>
        <w:rPr>
          <w:rFonts w:asciiTheme="minorEastAsia" w:hAnsiTheme="minorEastAsia"/>
          <w:b/>
          <w:sz w:val="28"/>
          <w:szCs w:val="28"/>
        </w:rPr>
        <w:t>、</w:t>
      </w:r>
      <w:r>
        <w:rPr>
          <w:rFonts w:hint="eastAsia" w:asciiTheme="minorEastAsia" w:hAnsiTheme="minorEastAsia"/>
          <w:b/>
          <w:sz w:val="28"/>
          <w:szCs w:val="28"/>
        </w:rPr>
        <w:t xml:space="preserve"> </w:t>
      </w:r>
      <w:r>
        <w:rPr>
          <w:rFonts w:hint="eastAsia" w:asciiTheme="minorEastAsia" w:hAnsiTheme="minorEastAsia"/>
          <w:b/>
          <w:sz w:val="28"/>
          <w:szCs w:val="28"/>
          <w:lang w:eastAsia="zh-CN"/>
        </w:rPr>
        <w:t>结算方式：</w:t>
      </w:r>
    </w:p>
    <w:p w14:paraId="1C9FE884">
      <w:pPr>
        <w:pStyle w:val="6"/>
        <w:ind w:left="0" w:leftChars="0" w:firstLine="560" w:firstLineChars="200"/>
        <w:rPr>
          <w:rFonts w:hint="default"/>
          <w:lang w:val="en-US" w:eastAsia="zh-CN"/>
        </w:rPr>
      </w:pPr>
      <w:r>
        <w:rPr>
          <w:rFonts w:hint="eastAsia" w:ascii="宋体" w:hAnsi="宋体" w:eastAsia="宋体" w:cs="宋体"/>
          <w:sz w:val="28"/>
          <w:szCs w:val="28"/>
          <w:lang w:val="en-US" w:eastAsia="zh-CN"/>
        </w:rPr>
        <w:t>季结。乙方次季度不定期将运输增值税专用发票（9%）和每票货物签收手续合格、完备的回单联原件免费交甲方审核办理结算，甲方在收到上述票据后的20个工作日将运费支付给乙方。</w:t>
      </w:r>
    </w:p>
    <w:p w14:paraId="4DE37DEB">
      <w:pPr>
        <w:rPr>
          <w:rFonts w:hint="eastAsia" w:asciiTheme="minorEastAsia" w:hAnsiTheme="minorEastAsia"/>
          <w:b/>
          <w:sz w:val="28"/>
          <w:szCs w:val="28"/>
        </w:rPr>
      </w:pPr>
      <w:r>
        <w:rPr>
          <w:rFonts w:hint="eastAsia" w:asciiTheme="minorEastAsia" w:hAnsiTheme="minorEastAsia"/>
          <w:b/>
          <w:sz w:val="28"/>
          <w:szCs w:val="28"/>
          <w:lang w:eastAsia="zh-CN"/>
        </w:rPr>
        <w:t>四</w:t>
      </w:r>
      <w:r>
        <w:rPr>
          <w:rFonts w:asciiTheme="minorEastAsia" w:hAnsiTheme="minorEastAsia"/>
          <w:b/>
          <w:sz w:val="28"/>
          <w:szCs w:val="28"/>
        </w:rPr>
        <w:t>、</w:t>
      </w:r>
      <w:r>
        <w:rPr>
          <w:rFonts w:hint="eastAsia" w:asciiTheme="minorEastAsia" w:hAnsiTheme="minorEastAsia"/>
          <w:b/>
          <w:sz w:val="28"/>
          <w:szCs w:val="28"/>
        </w:rPr>
        <w:t xml:space="preserve"> </w:t>
      </w:r>
      <w:r>
        <w:rPr>
          <w:rFonts w:hint="eastAsia" w:asciiTheme="minorEastAsia" w:hAnsiTheme="minorEastAsia"/>
          <w:b/>
          <w:sz w:val="28"/>
          <w:szCs w:val="28"/>
          <w:lang w:eastAsia="zh-CN"/>
        </w:rPr>
        <w:t>项目服务质量</w:t>
      </w:r>
      <w:r>
        <w:rPr>
          <w:rFonts w:hint="eastAsia" w:asciiTheme="minorEastAsia" w:hAnsiTheme="minorEastAsia"/>
          <w:b/>
          <w:sz w:val="28"/>
          <w:szCs w:val="28"/>
        </w:rPr>
        <w:t>基本</w:t>
      </w:r>
    </w:p>
    <w:p w14:paraId="090F6597">
      <w:pPr>
        <w:ind w:firstLine="560" w:firstLineChars="200"/>
        <w:rPr>
          <w:rFonts w:hint="eastAsia" w:asciiTheme="minorEastAsia" w:hAnsiTheme="minorEastAsia"/>
          <w:sz w:val="28"/>
          <w:szCs w:val="28"/>
        </w:rPr>
      </w:pPr>
      <w:r>
        <w:rPr>
          <w:rFonts w:hint="eastAsia" w:asciiTheme="minorEastAsia" w:hAnsiTheme="minorEastAsia"/>
          <w:sz w:val="28"/>
          <w:szCs w:val="28"/>
        </w:rPr>
        <w:t xml:space="preserve">1、应标方应提供确保货物运输安全的措施和作业工具，按发货方要求对货物做好保护措施，承运方接到运输需求后，按发货方要求将货物运至指定地点。 </w:t>
      </w:r>
    </w:p>
    <w:p w14:paraId="6F4AB1E7">
      <w:pPr>
        <w:ind w:firstLine="560" w:firstLineChars="200"/>
        <w:rPr>
          <w:rFonts w:hint="eastAsia" w:asciiTheme="minorEastAsia" w:hAnsiTheme="minorEastAsia" w:eastAsiaTheme="minorEastAsia"/>
          <w:color w:val="000000"/>
          <w:kern w:val="0"/>
          <w:sz w:val="28"/>
          <w:szCs w:val="28"/>
          <w:lang w:val="en-US" w:eastAsia="zh-CN"/>
        </w:rPr>
      </w:pPr>
      <w:r>
        <w:rPr>
          <w:rFonts w:hint="eastAsia" w:asciiTheme="minorEastAsia" w:hAnsiTheme="minorEastAsia"/>
          <w:color w:val="000000"/>
          <w:kern w:val="0"/>
          <w:sz w:val="28"/>
          <w:szCs w:val="28"/>
          <w:lang w:val="en-US" w:eastAsia="zh-CN"/>
        </w:rPr>
        <w:t>2、投标报价为门到门服务，价格包含运输税金、货物运输保险，不包含装、卸货费、上楼费、入仓费等各种增值服务费用；负责免费将货物签收运单返回招标方。</w:t>
      </w:r>
    </w:p>
    <w:p w14:paraId="3742BAE1">
      <w:pPr>
        <w:ind w:firstLine="560" w:firstLineChars="200"/>
        <w:rPr>
          <w:rFonts w:asciiTheme="minorEastAsia" w:hAnsiTheme="minorEastAsia"/>
          <w:color w:val="000000"/>
          <w:kern w:val="0"/>
          <w:sz w:val="28"/>
          <w:szCs w:val="28"/>
        </w:rPr>
      </w:pPr>
      <w:r>
        <w:rPr>
          <w:rFonts w:asciiTheme="minorEastAsia" w:hAnsiTheme="minorEastAsia"/>
          <w:color w:val="000000"/>
          <w:kern w:val="0"/>
          <w:sz w:val="28"/>
          <w:szCs w:val="28"/>
        </w:rPr>
        <w:t>3</w:t>
      </w:r>
      <w:r>
        <w:rPr>
          <w:rFonts w:hint="eastAsia" w:asciiTheme="minorEastAsia" w:hAnsiTheme="minorEastAsia"/>
          <w:color w:val="000000"/>
          <w:kern w:val="0"/>
          <w:sz w:val="28"/>
          <w:szCs w:val="28"/>
        </w:rPr>
        <w:t>、在</w:t>
      </w:r>
      <w:r>
        <w:rPr>
          <w:rFonts w:asciiTheme="minorEastAsia" w:hAnsiTheme="minorEastAsia"/>
          <w:color w:val="000000"/>
          <w:kern w:val="0"/>
          <w:sz w:val="28"/>
          <w:szCs w:val="28"/>
        </w:rPr>
        <w:t>南宁市有</w:t>
      </w:r>
      <w:r>
        <w:rPr>
          <w:rFonts w:hint="eastAsia" w:asciiTheme="minorEastAsia" w:hAnsiTheme="minorEastAsia"/>
          <w:color w:val="000000"/>
          <w:kern w:val="0"/>
          <w:sz w:val="28"/>
          <w:szCs w:val="28"/>
        </w:rPr>
        <w:t>物流</w:t>
      </w:r>
      <w:r>
        <w:rPr>
          <w:rFonts w:asciiTheme="minorEastAsia" w:hAnsiTheme="minorEastAsia"/>
          <w:color w:val="000000"/>
          <w:kern w:val="0"/>
          <w:sz w:val="28"/>
          <w:szCs w:val="28"/>
        </w:rPr>
        <w:t>运输服务机构，</w:t>
      </w:r>
      <w:r>
        <w:rPr>
          <w:rFonts w:hint="eastAsia" w:asciiTheme="minorEastAsia" w:hAnsiTheme="minorEastAsia"/>
          <w:color w:val="000000"/>
          <w:kern w:val="0"/>
          <w:sz w:val="28"/>
          <w:szCs w:val="28"/>
        </w:rPr>
        <w:t>且</w:t>
      </w:r>
      <w:r>
        <w:rPr>
          <w:rFonts w:asciiTheme="minorEastAsia" w:hAnsiTheme="minorEastAsia"/>
          <w:color w:val="000000"/>
          <w:kern w:val="0"/>
          <w:sz w:val="28"/>
          <w:szCs w:val="28"/>
        </w:rPr>
        <w:t>可提供装、卸货服务、</w:t>
      </w:r>
      <w:r>
        <w:rPr>
          <w:rFonts w:hint="eastAsia" w:asciiTheme="minorEastAsia" w:hAnsiTheme="minorEastAsia"/>
          <w:color w:val="000000"/>
          <w:kern w:val="0"/>
          <w:sz w:val="28"/>
          <w:szCs w:val="28"/>
        </w:rPr>
        <w:t>上楼</w:t>
      </w:r>
      <w:r>
        <w:rPr>
          <w:rFonts w:asciiTheme="minorEastAsia" w:hAnsiTheme="minorEastAsia"/>
          <w:color w:val="000000"/>
          <w:kern w:val="0"/>
          <w:sz w:val="28"/>
          <w:szCs w:val="28"/>
        </w:rPr>
        <w:t>服务和物流运输服务等。</w:t>
      </w:r>
    </w:p>
    <w:p w14:paraId="27857E2F">
      <w:pPr>
        <w:ind w:firstLine="560" w:firstLineChars="200"/>
        <w:rPr>
          <w:rFonts w:hint="eastAsia" w:asciiTheme="minorEastAsia" w:hAnsiTheme="minorEastAsia"/>
          <w:color w:val="000000"/>
          <w:kern w:val="0"/>
          <w:sz w:val="28"/>
          <w:szCs w:val="28"/>
        </w:rPr>
      </w:pPr>
      <w:r>
        <w:rPr>
          <w:rFonts w:hint="eastAsia" w:asciiTheme="minorEastAsia" w:hAnsiTheme="minorEastAsia"/>
          <w:color w:val="000000"/>
          <w:kern w:val="0"/>
          <w:sz w:val="28"/>
          <w:szCs w:val="28"/>
        </w:rPr>
        <w:t>4、</w:t>
      </w:r>
      <w:r>
        <w:rPr>
          <w:rFonts w:hint="eastAsia" w:asciiTheme="minorEastAsia" w:hAnsiTheme="minorEastAsia"/>
          <w:color w:val="000000"/>
          <w:kern w:val="0"/>
          <w:sz w:val="28"/>
          <w:szCs w:val="28"/>
          <w:lang w:val="en-US" w:eastAsia="zh-CN"/>
        </w:rPr>
        <w:t>发运要求：甲方每天发送当日发运计划，乙方在接到甲方完整发运单据后，按时到达指定提货点提货且需在24小时内将甲方货物装车发运（双方约定条件的除外）；乙方按合同约定时间将货物送达目的地，在货物接收后当日入库前未签收的，如甲方指定收货人签收前对货物提出的各种异议（如包装破损、变形、雨淋等）及因此造成的损失，无论收货人是否进行签收均由乙方负责。</w:t>
      </w:r>
    </w:p>
    <w:p w14:paraId="5A4F1BB6">
      <w:pPr>
        <w:ind w:firstLine="560" w:firstLineChars="200"/>
        <w:rPr>
          <w:rFonts w:hint="eastAsia" w:asciiTheme="minorEastAsia" w:hAnsiTheme="minorEastAsia"/>
          <w:color w:val="000000"/>
          <w:kern w:val="0"/>
          <w:sz w:val="28"/>
          <w:szCs w:val="28"/>
          <w:lang w:val="en-US" w:eastAsia="zh-CN"/>
        </w:rPr>
      </w:pPr>
      <w:r>
        <w:rPr>
          <w:rFonts w:hint="eastAsia" w:asciiTheme="minorEastAsia" w:hAnsiTheme="minorEastAsia"/>
          <w:kern w:val="0"/>
          <w:sz w:val="28"/>
          <w:szCs w:val="28"/>
        </w:rPr>
        <w:t>5、</w:t>
      </w:r>
      <w:r>
        <w:rPr>
          <w:rFonts w:hint="eastAsia" w:asciiTheme="minorEastAsia" w:hAnsiTheme="minorEastAsia"/>
          <w:color w:val="000000"/>
          <w:kern w:val="0"/>
          <w:sz w:val="28"/>
          <w:szCs w:val="28"/>
          <w:lang w:val="en-US" w:eastAsia="zh-CN"/>
        </w:rPr>
        <w:t>发运安排时要做好必要的产品运输防损、防潮、降丢、防事故等相关安全防护措施和必要的安全运输培训及提醒等，同时须对承运的下家公司做好必要的安全防护提醒、敦促，并负责跟进和落实到货情况。对货物的在途运输情况要安排业务素质高、工作责任心强的对口人员办理物流业务，并设立专线服务监督电话或网上服务查询，提供准确、及时的货物信息，以方便甲方对其运输服务质量进行监督。如货物在途或者配送异常事件，乙方要第一时间通知甲方，2小时内告知详情以便在有效处理时间内处理异常问题。如乙方在中转环节与其他物流供应商合作，则需要按照甲方要求完成运输任务，如因此原因造成送货延迟或者造成甲方经济损失的（含罚款和信誉损失等），则由乙方全权承担甲方的相关损失，如情节严重的，甲方有权解除合作关系且不承担违约责任。在运输途中发生货物丢失、破损等情况的按《产品赔偿价目表》赔偿或者按照甲乙双方协商一致结果赔偿；发生的货损退货则由乙方承担返工人工、材料及产品报废损失、补发运输等费用。如送货地址有变更则须发货方授权方可执行，不能私自送货，否则产生的损失由承运方承担。</w:t>
      </w:r>
    </w:p>
    <w:p w14:paraId="4A261DB7">
      <w:pPr>
        <w:ind w:firstLine="560" w:firstLineChars="200"/>
        <w:rPr>
          <w:rFonts w:hint="eastAsia" w:asciiTheme="minorEastAsia" w:hAnsiTheme="minorEastAsia"/>
          <w:color w:val="000000"/>
          <w:kern w:val="0"/>
          <w:sz w:val="28"/>
          <w:szCs w:val="28"/>
          <w:lang w:val="en-US" w:eastAsia="zh-CN"/>
        </w:rPr>
      </w:pPr>
      <w:r>
        <w:rPr>
          <w:rFonts w:hint="eastAsia" w:asciiTheme="minorEastAsia" w:hAnsiTheme="minorEastAsia"/>
          <w:color w:val="000000"/>
          <w:kern w:val="0"/>
          <w:sz w:val="28"/>
          <w:szCs w:val="28"/>
          <w:lang w:val="en-US" w:eastAsia="zh-CN"/>
        </w:rPr>
        <w:t>如因乙方原因造成货物丢失、货物损坏、货物变型和货物淋湿等情形的（包含但不限于），乙方需承担赔偿义务，并承担因此产生的到货率不足造成的经济损失。运输过程中因自然条件、防护措施及车辆故障等原因，造成货物数量损失、破损、质量降级或无法按预期继续使用的，由此产生的经济损失由乙方承担。如因乙方原因产生客诉，对甲方造成影响的，则乙方应按照当票运输费用30%向甲方支付违约金，如甲方实际损失超过前述违约金的，乙方还应承担赔偿责任。</w:t>
      </w:r>
    </w:p>
    <w:p w14:paraId="169CB6C8">
      <w:pPr>
        <w:ind w:firstLine="560" w:firstLineChars="200"/>
        <w:rPr>
          <w:rFonts w:hint="eastAsia" w:asciiTheme="minorEastAsia" w:hAnsiTheme="minorEastAsia"/>
          <w:sz w:val="28"/>
          <w:szCs w:val="28"/>
          <w:lang w:val="en-US" w:eastAsia="zh-CN"/>
        </w:rPr>
      </w:pPr>
      <w:r>
        <w:rPr>
          <w:rFonts w:hint="eastAsia" w:asciiTheme="minorEastAsia" w:hAnsiTheme="minorEastAsia"/>
          <w:color w:val="000000"/>
          <w:kern w:val="0"/>
          <w:sz w:val="28"/>
          <w:szCs w:val="28"/>
          <w:lang w:val="en-US" w:eastAsia="zh-CN"/>
        </w:rPr>
        <w:t>乙方负责对所派出的承运车辆与驾驶人员进行监管与安全教育培训，乙方车辆须遵守甲方厂区或甲方收货人指定装卸区域内的所有规章制度，若出现乙方车辆在甲方厂区或甲方收货人指定装卸区域内违反规章制度的，甲方或者甲方收货人将对该车辆进行记录并视情况对乙方收取每车每次 100-5000 元的罚款，罚金可直接从运费或合同履约金中扣除。乙方应当合法用工，按照法律法规缴纳社会保险。合同履行期间乙方人员的人身安全由乙方自行负责，自行承担产生的一切责任和损失。在合同履行期间，如因乙方原因所产生的经济纠纷或者其他事项对甲方产生不利影响的，甲方所产生的一切损失由乙方承担，并优先从履约保证金和运费中扣除，同时甲方可单方面解除合同。</w:t>
      </w:r>
    </w:p>
    <w:p w14:paraId="56A31B81">
      <w:pPr>
        <w:rPr>
          <w:rFonts w:asciiTheme="minorEastAsia" w:hAnsiTheme="minorEastAsia"/>
          <w:b/>
          <w:sz w:val="28"/>
          <w:szCs w:val="28"/>
        </w:rPr>
      </w:pPr>
      <w:r>
        <w:rPr>
          <w:rFonts w:hint="eastAsia" w:asciiTheme="minorEastAsia" w:hAnsiTheme="minorEastAsia"/>
          <w:b/>
          <w:sz w:val="28"/>
          <w:szCs w:val="28"/>
          <w:lang w:eastAsia="zh-CN"/>
        </w:rPr>
        <w:t>五</w:t>
      </w:r>
      <w:r>
        <w:rPr>
          <w:rFonts w:asciiTheme="minorEastAsia" w:hAnsiTheme="minorEastAsia"/>
          <w:b/>
          <w:sz w:val="28"/>
          <w:szCs w:val="28"/>
        </w:rPr>
        <w:t>、</w:t>
      </w:r>
      <w:r>
        <w:rPr>
          <w:rFonts w:hint="eastAsia" w:asciiTheme="minorEastAsia" w:hAnsiTheme="minorEastAsia"/>
          <w:b/>
          <w:sz w:val="28"/>
          <w:szCs w:val="28"/>
        </w:rPr>
        <w:t>询比项目原则</w:t>
      </w:r>
      <w:r>
        <w:rPr>
          <w:rFonts w:asciiTheme="minorEastAsia" w:hAnsiTheme="minorEastAsia"/>
          <w:b/>
          <w:sz w:val="28"/>
          <w:szCs w:val="28"/>
        </w:rPr>
        <w:t>与标准</w:t>
      </w:r>
    </w:p>
    <w:p w14:paraId="5C29C4EB">
      <w:pPr>
        <w:ind w:firstLine="560" w:firstLineChars="200"/>
        <w:rPr>
          <w:rFonts w:hint="eastAsia" w:asciiTheme="minorEastAsia" w:hAnsiTheme="minorEastAsia"/>
          <w:sz w:val="28"/>
          <w:szCs w:val="28"/>
        </w:rPr>
      </w:pPr>
      <w:r>
        <w:rPr>
          <w:rFonts w:hint="eastAsia" w:asciiTheme="minorEastAsia" w:hAnsiTheme="minorEastAsia"/>
          <w:sz w:val="28"/>
          <w:szCs w:val="28"/>
        </w:rPr>
        <w:t>本项目采用</w:t>
      </w:r>
      <w:r>
        <w:rPr>
          <w:rFonts w:hint="eastAsia" w:asciiTheme="minorEastAsia" w:hAnsiTheme="minorEastAsia"/>
          <w:sz w:val="28"/>
          <w:szCs w:val="28"/>
          <w:lang w:eastAsia="zh-CN"/>
        </w:rPr>
        <w:t>综合评审</w:t>
      </w:r>
      <w:r>
        <w:rPr>
          <w:rFonts w:hint="eastAsia" w:asciiTheme="minorEastAsia" w:hAnsiTheme="minorEastAsia"/>
          <w:sz w:val="28"/>
          <w:szCs w:val="28"/>
        </w:rPr>
        <w:t>法</w:t>
      </w:r>
      <w:r>
        <w:rPr>
          <w:rFonts w:hint="eastAsia" w:asciiTheme="minorEastAsia" w:hAnsiTheme="minorEastAsia"/>
          <w:sz w:val="28"/>
          <w:szCs w:val="28"/>
          <w:lang w:eastAsia="zh-CN"/>
        </w:rPr>
        <w:t>。</w:t>
      </w:r>
      <w:r>
        <w:rPr>
          <w:rFonts w:hint="eastAsia" w:asciiTheme="minorEastAsia" w:hAnsiTheme="minorEastAsia"/>
          <w:sz w:val="28"/>
          <w:szCs w:val="28"/>
        </w:rPr>
        <w:t>对符合相关资格条件</w:t>
      </w:r>
      <w:r>
        <w:rPr>
          <w:rFonts w:hint="eastAsia" w:asciiTheme="minorEastAsia" w:hAnsiTheme="minorEastAsia"/>
          <w:sz w:val="28"/>
          <w:szCs w:val="28"/>
          <w:lang w:eastAsia="zh-CN"/>
        </w:rPr>
        <w:t>的</w:t>
      </w:r>
      <w:r>
        <w:rPr>
          <w:rFonts w:hint="eastAsia" w:asciiTheme="minorEastAsia" w:hAnsiTheme="minorEastAsia"/>
          <w:sz w:val="28"/>
          <w:szCs w:val="28"/>
        </w:rPr>
        <w:t>参评方，从企业综合实力、项目服务方案</w:t>
      </w:r>
      <w:r>
        <w:rPr>
          <w:rFonts w:hint="eastAsia" w:asciiTheme="minorEastAsia" w:hAnsiTheme="minorEastAsia"/>
          <w:sz w:val="28"/>
          <w:szCs w:val="28"/>
          <w:lang w:eastAsia="zh-CN"/>
        </w:rPr>
        <w:t>等方面进行资格审查，资格审查通过后从商务、技术和</w:t>
      </w:r>
      <w:r>
        <w:rPr>
          <w:rFonts w:asciiTheme="minorEastAsia" w:hAnsiTheme="minorEastAsia"/>
          <w:sz w:val="28"/>
          <w:szCs w:val="28"/>
        </w:rPr>
        <w:t>价格</w:t>
      </w:r>
      <w:r>
        <w:rPr>
          <w:rFonts w:hint="eastAsia" w:asciiTheme="minorEastAsia" w:hAnsiTheme="minorEastAsia"/>
          <w:sz w:val="28"/>
          <w:szCs w:val="28"/>
          <w:lang w:eastAsia="zh-CN"/>
        </w:rPr>
        <w:t>等</w:t>
      </w:r>
      <w:r>
        <w:rPr>
          <w:rFonts w:hint="eastAsia" w:asciiTheme="minorEastAsia" w:hAnsiTheme="minorEastAsia"/>
          <w:sz w:val="28"/>
          <w:szCs w:val="28"/>
        </w:rPr>
        <w:t>方面进行</w:t>
      </w:r>
      <w:r>
        <w:rPr>
          <w:rFonts w:hint="eastAsia" w:asciiTheme="minorEastAsia" w:hAnsiTheme="minorEastAsia"/>
          <w:sz w:val="28"/>
          <w:szCs w:val="28"/>
          <w:lang w:eastAsia="zh-CN"/>
        </w:rPr>
        <w:t>详细评审</w:t>
      </w:r>
      <w:r>
        <w:rPr>
          <w:rFonts w:hint="eastAsia" w:asciiTheme="minorEastAsia" w:hAnsiTheme="minorEastAsia"/>
          <w:sz w:val="28"/>
          <w:szCs w:val="28"/>
        </w:rPr>
        <w:t>。</w:t>
      </w:r>
    </w:p>
    <w:p w14:paraId="4DAD1383">
      <w:pPr>
        <w:jc w:val="left"/>
        <w:rPr>
          <w:rFonts w:hint="eastAsia" w:asciiTheme="minorEastAsia" w:hAnsiTheme="minorEastAsia" w:eastAsiaTheme="minorEastAsia"/>
          <w:sz w:val="28"/>
          <w:szCs w:val="28"/>
          <w:lang w:eastAsia="zh-CN"/>
        </w:rPr>
      </w:pPr>
      <w:r>
        <w:rPr>
          <w:rFonts w:hint="eastAsia" w:asciiTheme="minorEastAsia" w:hAnsiTheme="minorEastAsia"/>
          <w:b/>
          <w:bCs/>
          <w:sz w:val="28"/>
          <w:szCs w:val="28"/>
          <w:lang w:eastAsia="zh-CN"/>
        </w:rPr>
        <w:t>六、报价方式和截止日期</w:t>
      </w:r>
    </w:p>
    <w:p w14:paraId="20F819F6">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rPr>
        <w:t>1、报价方将书面报价文件一式</w:t>
      </w:r>
      <w:r>
        <w:rPr>
          <w:rFonts w:hint="eastAsia" w:asciiTheme="minorEastAsia" w:hAnsiTheme="minorEastAsia"/>
          <w:sz w:val="28"/>
          <w:szCs w:val="28"/>
          <w:lang w:eastAsia="zh-CN"/>
        </w:rPr>
        <w:t>三</w:t>
      </w:r>
      <w:r>
        <w:rPr>
          <w:rFonts w:hint="eastAsia" w:asciiTheme="minorEastAsia" w:hAnsiTheme="minorEastAsia"/>
          <w:sz w:val="28"/>
          <w:szCs w:val="28"/>
        </w:rPr>
        <w:t>份（密封、封条盖章）</w:t>
      </w:r>
      <w:r>
        <w:rPr>
          <w:rFonts w:hint="eastAsia" w:asciiTheme="minorEastAsia" w:hAnsiTheme="minorEastAsia"/>
          <w:sz w:val="28"/>
          <w:szCs w:val="28"/>
          <w:lang w:eastAsia="zh-CN"/>
        </w:rPr>
        <w:t>邮</w:t>
      </w:r>
      <w:r>
        <w:rPr>
          <w:rFonts w:hint="eastAsia" w:asciiTheme="minorEastAsia" w:hAnsiTheme="minorEastAsia"/>
          <w:sz w:val="28"/>
          <w:szCs w:val="28"/>
        </w:rPr>
        <w:t>寄</w:t>
      </w:r>
      <w:r>
        <w:rPr>
          <w:rFonts w:hint="eastAsia" w:asciiTheme="minorEastAsia" w:hAnsiTheme="minorEastAsia"/>
          <w:sz w:val="28"/>
          <w:szCs w:val="28"/>
          <w:lang w:eastAsia="zh-CN"/>
        </w:rPr>
        <w:t>至</w:t>
      </w:r>
      <w:r>
        <w:rPr>
          <w:rFonts w:hint="eastAsia" w:asciiTheme="minorEastAsia" w:hAnsiTheme="minorEastAsia"/>
          <w:sz w:val="28"/>
          <w:szCs w:val="28"/>
        </w:rPr>
        <w:t>广西双钱健康产业股份有限公司生产部7号楼</w:t>
      </w:r>
      <w:r>
        <w:rPr>
          <w:rFonts w:hint="eastAsia" w:asciiTheme="minorEastAsia" w:hAnsiTheme="minorEastAsia"/>
          <w:sz w:val="28"/>
          <w:szCs w:val="28"/>
          <w:lang w:eastAsia="zh-CN"/>
        </w:rPr>
        <w:t>，联系人：黄工</w:t>
      </w:r>
      <w:r>
        <w:rPr>
          <w:rFonts w:hint="eastAsia" w:asciiTheme="minorEastAsia" w:hAnsiTheme="minorEastAsia"/>
          <w:sz w:val="28"/>
          <w:szCs w:val="28"/>
          <w:lang w:val="en-US" w:eastAsia="zh-CN"/>
        </w:rPr>
        <w:t>0774-3939998，刘工0774-3939999</w:t>
      </w:r>
      <w:r>
        <w:rPr>
          <w:rFonts w:hint="eastAsia" w:asciiTheme="minorEastAsia" w:hAnsiTheme="minorEastAsia"/>
          <w:sz w:val="28"/>
          <w:szCs w:val="28"/>
          <w:lang w:eastAsia="zh-CN"/>
        </w:rPr>
        <w:t>。</w:t>
      </w:r>
    </w:p>
    <w:p w14:paraId="3EB141BB">
      <w:pPr>
        <w:ind w:firstLine="560" w:firstLineChars="200"/>
        <w:rPr>
          <w:rFonts w:hint="eastAsia" w:asciiTheme="minorEastAsia" w:hAnsiTheme="minorEastAsia"/>
          <w:sz w:val="28"/>
          <w:szCs w:val="28"/>
        </w:rPr>
      </w:pPr>
      <w:r>
        <w:rPr>
          <w:rFonts w:hint="eastAsia" w:asciiTheme="minorEastAsia" w:hAnsiTheme="minorEastAsia"/>
          <w:sz w:val="28"/>
          <w:szCs w:val="28"/>
        </w:rPr>
        <w:t xml:space="preserve"> 2、报价截止日期：自本公告发布之日起</w:t>
      </w:r>
      <w:r>
        <w:rPr>
          <w:rFonts w:hint="eastAsia" w:asciiTheme="minorEastAsia" w:hAnsiTheme="minorEastAsia"/>
          <w:sz w:val="28"/>
          <w:szCs w:val="28"/>
          <w:lang w:val="en-US" w:eastAsia="zh-CN"/>
        </w:rPr>
        <w:t>10</w:t>
      </w:r>
      <w:r>
        <w:rPr>
          <w:rFonts w:hint="eastAsia" w:asciiTheme="minorEastAsia" w:hAnsiTheme="minorEastAsia"/>
          <w:sz w:val="28"/>
          <w:szCs w:val="28"/>
        </w:rPr>
        <w:t>天（含周六日）后截止报价。</w:t>
      </w:r>
    </w:p>
    <w:p w14:paraId="00E7A953">
      <w:pPr>
        <w:numPr>
          <w:ilvl w:val="0"/>
          <w:numId w:val="0"/>
        </w:numPr>
        <w:rPr>
          <w:rFonts w:asciiTheme="minorEastAsia" w:hAnsiTheme="minorEastAsia"/>
          <w:b/>
          <w:sz w:val="28"/>
          <w:szCs w:val="28"/>
        </w:rPr>
      </w:pPr>
      <w:r>
        <w:rPr>
          <w:rFonts w:hint="eastAsia" w:asciiTheme="minorEastAsia" w:hAnsiTheme="minorEastAsia"/>
          <w:b/>
          <w:sz w:val="28"/>
          <w:szCs w:val="28"/>
          <w:lang w:eastAsia="zh-CN"/>
        </w:rPr>
        <w:t>七、</w:t>
      </w:r>
      <w:r>
        <w:rPr>
          <w:rFonts w:hint="eastAsia" w:asciiTheme="minorEastAsia" w:hAnsiTheme="minorEastAsia"/>
          <w:b/>
          <w:sz w:val="28"/>
          <w:szCs w:val="28"/>
        </w:rPr>
        <w:t>报价</w:t>
      </w:r>
      <w:r>
        <w:rPr>
          <w:rFonts w:asciiTheme="minorEastAsia" w:hAnsiTheme="minorEastAsia"/>
          <w:b/>
          <w:sz w:val="28"/>
          <w:szCs w:val="28"/>
        </w:rPr>
        <w:t>文件的主要内容：</w:t>
      </w:r>
    </w:p>
    <w:p w14:paraId="25DCC386">
      <w:pPr>
        <w:ind w:firstLine="560" w:firstLineChars="200"/>
        <w:rPr>
          <w:rFonts w:hint="eastAsia" w:asciiTheme="minorEastAsia" w:hAnsiTheme="minorEastAsia"/>
          <w:sz w:val="28"/>
          <w:szCs w:val="28"/>
        </w:rPr>
      </w:pPr>
      <w:r>
        <w:rPr>
          <w:rFonts w:hint="eastAsia" w:asciiTheme="minorEastAsia" w:hAnsiTheme="minorEastAsia"/>
          <w:sz w:val="28"/>
          <w:szCs w:val="28"/>
        </w:rPr>
        <w:t>1、报价表，并提供电子版报价表（请按照附件报价</w:t>
      </w:r>
      <w:r>
        <w:rPr>
          <w:rFonts w:asciiTheme="minorEastAsia" w:hAnsiTheme="minorEastAsia"/>
          <w:sz w:val="28"/>
          <w:szCs w:val="28"/>
        </w:rPr>
        <w:t>表</w:t>
      </w:r>
      <w:r>
        <w:rPr>
          <w:rFonts w:hint="eastAsia" w:asciiTheme="minorEastAsia" w:hAnsiTheme="minorEastAsia"/>
          <w:sz w:val="28"/>
          <w:szCs w:val="28"/>
        </w:rPr>
        <w:t>格式）。</w:t>
      </w:r>
    </w:p>
    <w:p w14:paraId="44537DC3">
      <w:pPr>
        <w:ind w:firstLine="560" w:firstLineChars="200"/>
        <w:rPr>
          <w:rFonts w:hint="default" w:asciiTheme="minorEastAsia" w:hAnsiTheme="minorEastAsia" w:eastAsiaTheme="minorEastAsia"/>
          <w:sz w:val="28"/>
          <w:szCs w:val="28"/>
          <w:lang w:val="en-US" w:eastAsia="zh-CN"/>
        </w:rPr>
      </w:pPr>
      <w:r>
        <w:rPr>
          <w:rFonts w:hint="eastAsia" w:asciiTheme="minorEastAsia" w:hAnsiTheme="minorEastAsia"/>
          <w:sz w:val="28"/>
          <w:szCs w:val="28"/>
          <w:lang w:val="en-US" w:eastAsia="zh-CN"/>
        </w:rPr>
        <w:t>要求：无论运输线路是否有运量均需报价，且根据运量递增梯度区间呈现价格梯度递减，否则为无效报价。</w:t>
      </w:r>
    </w:p>
    <w:p w14:paraId="44735D04">
      <w:pPr>
        <w:ind w:firstLine="560" w:firstLineChars="200"/>
        <w:rPr>
          <w:rFonts w:asciiTheme="minorEastAsia" w:hAnsiTheme="minorEastAsia"/>
          <w:sz w:val="28"/>
          <w:szCs w:val="28"/>
        </w:rPr>
      </w:pPr>
      <w:r>
        <w:rPr>
          <w:rFonts w:hint="eastAsia" w:asciiTheme="minorEastAsia" w:hAnsiTheme="minorEastAsia"/>
          <w:sz w:val="28"/>
          <w:szCs w:val="28"/>
        </w:rPr>
        <w:t>2、报价企业概况，包括公司自有的线路（含联系人、电话），自有运输车辆类别、数量等以及有长期合约的协作公司名单。</w:t>
      </w:r>
    </w:p>
    <w:p w14:paraId="5BB35240">
      <w:pPr>
        <w:ind w:firstLine="560" w:firstLineChars="200"/>
        <w:rPr>
          <w:rFonts w:asciiTheme="minorEastAsia" w:hAnsiTheme="minorEastAsia"/>
          <w:sz w:val="28"/>
          <w:szCs w:val="28"/>
        </w:rPr>
      </w:pPr>
      <w:r>
        <w:rPr>
          <w:rFonts w:hint="eastAsia" w:asciiTheme="minorEastAsia" w:hAnsiTheme="minorEastAsia"/>
          <w:sz w:val="28"/>
          <w:szCs w:val="28"/>
        </w:rPr>
        <w:t>3、有效的“营业执照”复印件，要求清晰反映检查情况记录和经营范围，同时要加盖单位公章。</w:t>
      </w:r>
    </w:p>
    <w:p w14:paraId="798E83FB">
      <w:pPr>
        <w:ind w:firstLine="560" w:firstLineChars="200"/>
        <w:rPr>
          <w:rFonts w:asciiTheme="minorEastAsia" w:hAnsiTheme="minorEastAsia"/>
          <w:sz w:val="28"/>
          <w:szCs w:val="28"/>
        </w:rPr>
      </w:pPr>
      <w:r>
        <w:rPr>
          <w:rFonts w:hint="eastAsia" w:asciiTheme="minorEastAsia" w:hAnsiTheme="minorEastAsia"/>
          <w:sz w:val="28"/>
          <w:szCs w:val="28"/>
        </w:rPr>
        <w:t>4、国家有关部门签发的相关行业资质认证证书、行业经营许可证的复印件。</w:t>
      </w:r>
    </w:p>
    <w:p w14:paraId="635CCA15">
      <w:pPr>
        <w:ind w:firstLine="560" w:firstLineChars="200"/>
        <w:rPr>
          <w:rFonts w:asciiTheme="minorEastAsia" w:hAnsiTheme="minorEastAsia"/>
          <w:sz w:val="28"/>
          <w:szCs w:val="28"/>
        </w:rPr>
      </w:pPr>
      <w:r>
        <w:rPr>
          <w:rFonts w:hint="eastAsia" w:asciiTheme="minorEastAsia" w:hAnsiTheme="minorEastAsia"/>
          <w:sz w:val="28"/>
          <w:szCs w:val="28"/>
        </w:rPr>
        <w:t>5、报价单位认为有必要提供的证明其具有资格以及合同履行能力的其他文件资料。</w:t>
      </w:r>
    </w:p>
    <w:p w14:paraId="52AFC1FD">
      <w:pPr>
        <w:ind w:firstLine="560" w:firstLineChars="200"/>
        <w:rPr>
          <w:rFonts w:asciiTheme="minorEastAsia" w:hAnsiTheme="minorEastAsia"/>
          <w:sz w:val="28"/>
          <w:szCs w:val="28"/>
        </w:rPr>
      </w:pPr>
      <w:r>
        <w:rPr>
          <w:rFonts w:hint="eastAsia" w:asciiTheme="minorEastAsia" w:hAnsiTheme="minorEastAsia"/>
          <w:sz w:val="28"/>
          <w:szCs w:val="28"/>
        </w:rPr>
        <w:t>6、质量保证承诺和</w:t>
      </w:r>
      <w:r>
        <w:rPr>
          <w:rFonts w:asciiTheme="minorEastAsia" w:hAnsiTheme="minorEastAsia"/>
          <w:sz w:val="28"/>
          <w:szCs w:val="28"/>
        </w:rPr>
        <w:t>服务方案</w:t>
      </w:r>
      <w:r>
        <w:rPr>
          <w:rFonts w:hint="eastAsia" w:asciiTheme="minorEastAsia" w:hAnsiTheme="minorEastAsia"/>
          <w:sz w:val="28"/>
          <w:szCs w:val="28"/>
        </w:rPr>
        <w:t>（含</w:t>
      </w:r>
      <w:r>
        <w:rPr>
          <w:rFonts w:asciiTheme="minorEastAsia" w:hAnsiTheme="minorEastAsia"/>
          <w:sz w:val="28"/>
          <w:szCs w:val="28"/>
        </w:rPr>
        <w:t>售后服务</w:t>
      </w:r>
      <w:r>
        <w:rPr>
          <w:rFonts w:hint="eastAsia" w:asciiTheme="minorEastAsia" w:hAnsiTheme="minorEastAsia"/>
          <w:sz w:val="28"/>
          <w:szCs w:val="28"/>
        </w:rPr>
        <w:t>）。</w:t>
      </w:r>
    </w:p>
    <w:p w14:paraId="72BC5C95">
      <w:pPr>
        <w:ind w:firstLine="560" w:firstLineChars="200"/>
        <w:rPr>
          <w:rFonts w:asciiTheme="minorEastAsia" w:hAnsiTheme="minorEastAsia"/>
          <w:sz w:val="28"/>
          <w:szCs w:val="28"/>
        </w:rPr>
      </w:pPr>
      <w:r>
        <w:rPr>
          <w:rFonts w:hint="eastAsia" w:asciiTheme="minorEastAsia" w:hAnsiTheme="minorEastAsia"/>
          <w:sz w:val="28"/>
          <w:szCs w:val="28"/>
        </w:rPr>
        <w:t>7、付款优惠条件。</w:t>
      </w:r>
    </w:p>
    <w:p w14:paraId="3645840A">
      <w:pPr>
        <w:ind w:firstLine="560" w:firstLineChars="200"/>
        <w:rPr>
          <w:rFonts w:asciiTheme="minorEastAsia" w:hAnsiTheme="minorEastAsia"/>
          <w:sz w:val="28"/>
          <w:szCs w:val="28"/>
        </w:rPr>
      </w:pPr>
      <w:r>
        <w:rPr>
          <w:rFonts w:asciiTheme="minorEastAsia" w:hAnsiTheme="minorEastAsia"/>
          <w:sz w:val="28"/>
          <w:szCs w:val="28"/>
        </w:rPr>
        <w:t>8</w:t>
      </w:r>
      <w:r>
        <w:rPr>
          <w:rFonts w:hint="eastAsia" w:asciiTheme="minorEastAsia" w:hAnsiTheme="minorEastAsia"/>
          <w:sz w:val="28"/>
          <w:szCs w:val="28"/>
        </w:rPr>
        <w:t>、以上提供的各种文件和资料须加盖单位公章。</w:t>
      </w:r>
    </w:p>
    <w:p w14:paraId="0504DE4D">
      <w:pPr>
        <w:rPr>
          <w:rFonts w:asciiTheme="minorEastAsia" w:hAnsiTheme="minorEastAsia"/>
          <w:b/>
          <w:sz w:val="28"/>
          <w:szCs w:val="28"/>
        </w:rPr>
      </w:pPr>
      <w:r>
        <w:rPr>
          <w:rFonts w:hint="eastAsia" w:asciiTheme="minorEastAsia" w:hAnsiTheme="minorEastAsia"/>
          <w:b/>
          <w:sz w:val="28"/>
          <w:szCs w:val="28"/>
        </w:rPr>
        <w:t>六</w:t>
      </w:r>
      <w:r>
        <w:rPr>
          <w:rFonts w:asciiTheme="minorEastAsia" w:hAnsiTheme="minorEastAsia"/>
          <w:b/>
          <w:sz w:val="28"/>
          <w:szCs w:val="28"/>
        </w:rPr>
        <w:t>、报价表附件</w:t>
      </w:r>
    </w:p>
    <w:p w14:paraId="2D275444">
      <w:pPr>
        <w:ind w:firstLine="560" w:firstLineChars="200"/>
        <w:rPr>
          <w:rFonts w:hint="eastAsia" w:asciiTheme="minorEastAsia" w:hAnsiTheme="minorEastAsia"/>
          <w:sz w:val="28"/>
          <w:szCs w:val="28"/>
        </w:rPr>
      </w:pPr>
      <w:r>
        <w:rPr>
          <w:rFonts w:hint="eastAsia" w:asciiTheme="minorEastAsia" w:hAnsiTheme="minorEastAsia"/>
          <w:sz w:val="28"/>
          <w:szCs w:val="28"/>
        </w:rPr>
        <w:t>附件</w:t>
      </w:r>
      <w:r>
        <w:rPr>
          <w:rFonts w:hint="eastAsia" w:asciiTheme="minorEastAsia" w:hAnsiTheme="minorEastAsia"/>
          <w:sz w:val="28"/>
          <w:szCs w:val="28"/>
          <w:lang w:val="en-US" w:eastAsia="zh-CN"/>
        </w:rPr>
        <w:t>1</w:t>
      </w:r>
      <w:r>
        <w:rPr>
          <w:rFonts w:hint="eastAsia" w:asciiTheme="minorEastAsia" w:hAnsiTheme="minorEastAsia"/>
          <w:sz w:val="28"/>
          <w:szCs w:val="28"/>
        </w:rPr>
        <w:t xml:space="preserve"> 产品</w:t>
      </w:r>
      <w:r>
        <w:rPr>
          <w:rFonts w:asciiTheme="minorEastAsia" w:hAnsiTheme="minorEastAsia"/>
          <w:sz w:val="28"/>
          <w:szCs w:val="28"/>
        </w:rPr>
        <w:t>规格表</w:t>
      </w:r>
    </w:p>
    <w:p w14:paraId="2EC400A5">
      <w:pPr>
        <w:ind w:firstLine="560" w:firstLineChars="200"/>
        <w:rPr>
          <w:rFonts w:asciiTheme="minorEastAsia" w:hAnsiTheme="minorEastAsia"/>
          <w:sz w:val="28"/>
          <w:szCs w:val="28"/>
        </w:rPr>
      </w:pPr>
      <w:r>
        <w:rPr>
          <w:rFonts w:hint="eastAsia" w:asciiTheme="minorEastAsia" w:hAnsiTheme="minorEastAsia"/>
          <w:sz w:val="28"/>
          <w:szCs w:val="28"/>
        </w:rPr>
        <w:t>附件</w:t>
      </w:r>
      <w:r>
        <w:rPr>
          <w:rFonts w:hint="eastAsia" w:asciiTheme="minorEastAsia" w:hAnsiTheme="minorEastAsia"/>
          <w:sz w:val="28"/>
          <w:szCs w:val="28"/>
          <w:lang w:val="en-US" w:eastAsia="zh-CN"/>
        </w:rPr>
        <w:t>2</w:t>
      </w:r>
      <w:r>
        <w:rPr>
          <w:rFonts w:hint="eastAsia" w:asciiTheme="minorEastAsia" w:hAnsiTheme="minorEastAsia"/>
          <w:sz w:val="28"/>
          <w:szCs w:val="28"/>
        </w:rPr>
        <w:t xml:space="preserve"> 报价</w:t>
      </w:r>
      <w:r>
        <w:rPr>
          <w:rFonts w:asciiTheme="minorEastAsia" w:hAnsiTheme="minorEastAsia"/>
          <w:sz w:val="28"/>
          <w:szCs w:val="28"/>
        </w:rPr>
        <w:t>表</w:t>
      </w:r>
    </w:p>
    <w:p w14:paraId="5650E21F">
      <w:pPr>
        <w:rPr>
          <w:rFonts w:hint="default" w:asciiTheme="minorEastAsia" w:hAnsiTheme="minorEastAsia" w:eastAsiaTheme="minorEastAsia"/>
          <w:sz w:val="28"/>
          <w:szCs w:val="28"/>
          <w:lang w:val="en-US" w:eastAsia="zh-CN"/>
        </w:rPr>
      </w:pPr>
      <w:r>
        <w:rPr>
          <w:rFonts w:hint="eastAsia" w:asciiTheme="minorEastAsia" w:hAnsiTheme="minorEastAsia"/>
          <w:sz w:val="28"/>
          <w:szCs w:val="28"/>
          <w:lang w:val="en-US" w:eastAsia="zh-CN"/>
        </w:rPr>
        <w:t xml:space="preserve">    附件3 物流运输服务合同</w:t>
      </w:r>
    </w:p>
    <w:p w14:paraId="42F35984">
      <w:pPr>
        <w:rPr>
          <w:rFonts w:asciiTheme="minorEastAsia" w:hAnsiTheme="minorEastAsia"/>
          <w:sz w:val="28"/>
          <w:szCs w:val="28"/>
        </w:rPr>
      </w:pPr>
    </w:p>
    <w:p w14:paraId="30682062">
      <w:pPr>
        <w:spacing w:line="560" w:lineRule="exact"/>
        <w:jc w:val="center"/>
        <w:rPr>
          <w:rFonts w:hint="eastAsia" w:ascii="宋体" w:hAnsi="宋体" w:cs="仿宋"/>
          <w:b/>
          <w:sz w:val="30"/>
          <w:szCs w:val="30"/>
        </w:rPr>
      </w:pPr>
    </w:p>
    <w:p w14:paraId="42AD483F">
      <w:pPr>
        <w:spacing w:line="560" w:lineRule="exact"/>
        <w:jc w:val="center"/>
        <w:rPr>
          <w:rFonts w:hint="eastAsia" w:ascii="宋体" w:hAnsi="宋体" w:cs="仿宋"/>
          <w:b/>
          <w:sz w:val="30"/>
          <w:szCs w:val="30"/>
        </w:rPr>
      </w:pPr>
    </w:p>
    <w:p w14:paraId="72047ADD">
      <w:pPr>
        <w:spacing w:line="560" w:lineRule="exact"/>
        <w:jc w:val="center"/>
        <w:rPr>
          <w:rFonts w:hint="eastAsia" w:ascii="宋体" w:hAnsi="宋体" w:cs="仿宋"/>
          <w:b/>
          <w:sz w:val="30"/>
          <w:szCs w:val="30"/>
        </w:rPr>
      </w:pPr>
    </w:p>
    <w:p w14:paraId="3458ED68">
      <w:pPr>
        <w:spacing w:line="560" w:lineRule="exact"/>
        <w:jc w:val="center"/>
        <w:rPr>
          <w:rFonts w:hint="eastAsia" w:ascii="宋体" w:hAnsi="宋体" w:cs="仿宋"/>
          <w:b/>
          <w:sz w:val="30"/>
          <w:szCs w:val="30"/>
        </w:rPr>
      </w:pPr>
    </w:p>
    <w:p w14:paraId="207905F4">
      <w:pPr>
        <w:spacing w:line="560" w:lineRule="exact"/>
        <w:jc w:val="center"/>
        <w:rPr>
          <w:rFonts w:hint="eastAsia" w:ascii="宋体" w:hAnsi="宋体" w:cs="仿宋"/>
          <w:b/>
          <w:sz w:val="30"/>
          <w:szCs w:val="30"/>
        </w:rPr>
      </w:pPr>
    </w:p>
    <w:p w14:paraId="2CCB56AA">
      <w:pPr>
        <w:spacing w:line="560" w:lineRule="exact"/>
        <w:jc w:val="center"/>
        <w:rPr>
          <w:rFonts w:ascii="宋体" w:hAnsi="宋体" w:cs="仿宋"/>
          <w:b/>
          <w:sz w:val="30"/>
          <w:szCs w:val="30"/>
        </w:rPr>
      </w:pPr>
      <w:r>
        <w:rPr>
          <w:rFonts w:hint="eastAsia" w:ascii="宋体" w:hAnsi="宋体" w:cs="仿宋"/>
          <w:b/>
          <w:sz w:val="30"/>
          <w:szCs w:val="30"/>
        </w:rPr>
        <w:t>南宁</w:t>
      </w:r>
      <w:r>
        <w:rPr>
          <w:rFonts w:hint="eastAsia" w:ascii="宋体" w:hAnsi="宋体" w:cs="仿宋"/>
          <w:b/>
          <w:sz w:val="30"/>
          <w:szCs w:val="30"/>
          <w:lang w:eastAsia="zh-CN"/>
        </w:rPr>
        <w:t>仓库</w:t>
      </w:r>
      <w:r>
        <w:rPr>
          <w:rFonts w:hint="eastAsia" w:ascii="宋体" w:hAnsi="宋体" w:cs="仿宋"/>
          <w:b/>
          <w:sz w:val="30"/>
          <w:szCs w:val="30"/>
        </w:rPr>
        <w:t>物流运输项目评审办法</w:t>
      </w:r>
      <w:bookmarkStart w:id="0" w:name="_Toc34423573"/>
      <w:bookmarkStart w:id="1" w:name="_Toc360547027"/>
      <w:bookmarkStart w:id="2" w:name="_Toc237672917"/>
      <w:bookmarkStart w:id="3" w:name="_Toc349402933"/>
      <w:bookmarkStart w:id="4" w:name="_Toc233286311"/>
    </w:p>
    <w:p w14:paraId="4D6FE8FF">
      <w:pPr>
        <w:pStyle w:val="15"/>
        <w:adjustRightInd w:val="0"/>
        <w:snapToGrid w:val="0"/>
        <w:spacing w:line="560" w:lineRule="exact"/>
        <w:outlineLvl w:val="1"/>
        <w:rPr>
          <w:rFonts w:hAnsi="宋体" w:cs="仿宋"/>
          <w:b/>
          <w:bCs/>
          <w:sz w:val="28"/>
          <w:szCs w:val="28"/>
        </w:rPr>
      </w:pPr>
      <w:bookmarkStart w:id="5" w:name="_Toc8206121"/>
      <w:bookmarkStart w:id="6" w:name="_Toc499818780"/>
      <w:bookmarkStart w:id="7" w:name="_Toc514425264"/>
      <w:bookmarkStart w:id="8" w:name="_Toc514425341"/>
      <w:r>
        <w:rPr>
          <w:rFonts w:hint="eastAsia" w:hAnsi="宋体" w:cs="仿宋"/>
          <w:b/>
          <w:bCs/>
          <w:sz w:val="28"/>
          <w:szCs w:val="28"/>
        </w:rPr>
        <w:t>一、</w:t>
      </w:r>
      <w:bookmarkEnd w:id="5"/>
      <w:bookmarkEnd w:id="6"/>
      <w:bookmarkEnd w:id="7"/>
      <w:bookmarkEnd w:id="8"/>
      <w:r>
        <w:rPr>
          <w:rFonts w:hint="eastAsia" w:hAnsi="宋体" w:cs="仿宋"/>
          <w:b/>
          <w:bCs/>
          <w:sz w:val="28"/>
          <w:szCs w:val="28"/>
        </w:rPr>
        <w:t>评审对象</w:t>
      </w:r>
    </w:p>
    <w:p w14:paraId="3238838E">
      <w:pPr>
        <w:pStyle w:val="16"/>
        <w:spacing w:line="560" w:lineRule="exact"/>
        <w:ind w:firstLine="560" w:firstLineChars="200"/>
        <w:rPr>
          <w:rFonts w:ascii="宋体" w:hAnsi="宋体" w:eastAsia="宋体" w:cs="仿宋"/>
          <w:szCs w:val="28"/>
        </w:rPr>
      </w:pPr>
      <w:r>
        <w:rPr>
          <w:rFonts w:hint="eastAsia" w:ascii="宋体" w:hAnsi="宋体" w:eastAsia="宋体" w:cs="仿宋"/>
          <w:szCs w:val="28"/>
        </w:rPr>
        <w:t>投标方提交的相关文件及其有效的补充文件。</w:t>
      </w:r>
    </w:p>
    <w:p w14:paraId="59A5DC77">
      <w:pPr>
        <w:pStyle w:val="15"/>
        <w:adjustRightInd w:val="0"/>
        <w:snapToGrid w:val="0"/>
        <w:spacing w:line="560" w:lineRule="exact"/>
        <w:outlineLvl w:val="1"/>
        <w:rPr>
          <w:rFonts w:hAnsi="宋体" w:cs="仿宋"/>
          <w:b/>
          <w:bCs/>
          <w:sz w:val="28"/>
          <w:szCs w:val="28"/>
        </w:rPr>
      </w:pPr>
      <w:bookmarkStart w:id="9" w:name="_Toc514425342"/>
      <w:bookmarkStart w:id="10" w:name="_Toc499818781"/>
      <w:bookmarkStart w:id="11" w:name="_Toc8206122"/>
      <w:bookmarkStart w:id="12" w:name="_Toc514425265"/>
      <w:r>
        <w:rPr>
          <w:rFonts w:hint="eastAsia" w:hAnsi="宋体" w:cs="仿宋"/>
          <w:b/>
          <w:bCs/>
          <w:sz w:val="28"/>
          <w:szCs w:val="28"/>
        </w:rPr>
        <w:t>二、评审方法</w:t>
      </w:r>
      <w:bookmarkEnd w:id="9"/>
      <w:bookmarkEnd w:id="10"/>
      <w:bookmarkEnd w:id="11"/>
      <w:bookmarkEnd w:id="12"/>
    </w:p>
    <w:p w14:paraId="66B9BFD6">
      <w:pPr>
        <w:pStyle w:val="16"/>
        <w:spacing w:line="560" w:lineRule="exact"/>
        <w:ind w:firstLine="560" w:firstLineChars="200"/>
        <w:rPr>
          <w:rFonts w:ascii="宋体" w:hAnsi="宋体" w:eastAsia="宋体" w:cs="仿宋"/>
          <w:szCs w:val="28"/>
        </w:rPr>
      </w:pPr>
      <w:r>
        <w:rPr>
          <w:rFonts w:hint="eastAsia" w:ascii="宋体" w:hAnsi="宋体" w:eastAsia="宋体" w:cs="仿宋"/>
          <w:szCs w:val="28"/>
        </w:rPr>
        <w:t>本项目采用综合评估法。</w:t>
      </w:r>
    </w:p>
    <w:p w14:paraId="60B819B2">
      <w:pPr>
        <w:pStyle w:val="15"/>
        <w:adjustRightInd w:val="0"/>
        <w:snapToGrid w:val="0"/>
        <w:spacing w:line="560" w:lineRule="exact"/>
        <w:ind w:firstLine="560" w:firstLineChars="200"/>
        <w:outlineLvl w:val="1"/>
        <w:rPr>
          <w:rFonts w:hint="eastAsia" w:hAnsi="宋体" w:cs="仿宋"/>
          <w:bCs/>
          <w:sz w:val="28"/>
          <w:szCs w:val="28"/>
        </w:rPr>
      </w:pPr>
      <w:bookmarkStart w:id="13" w:name="_Toc514425266"/>
      <w:bookmarkStart w:id="14" w:name="_Toc514425343"/>
      <w:bookmarkStart w:id="15" w:name="_Toc360547028"/>
      <w:bookmarkStart w:id="16" w:name="_Toc8206123"/>
      <w:bookmarkStart w:id="17" w:name="_Toc499818782"/>
      <w:bookmarkStart w:id="18" w:name="_Toc349402934"/>
      <w:r>
        <w:rPr>
          <w:rFonts w:hint="eastAsia" w:hAnsi="宋体" w:cs="仿宋"/>
          <w:bCs/>
          <w:sz w:val="28"/>
          <w:szCs w:val="28"/>
        </w:rPr>
        <w:t>总分共计100分，评分</w:t>
      </w:r>
      <w:r>
        <w:rPr>
          <w:rFonts w:hAnsi="宋体" w:cs="仿宋"/>
          <w:bCs/>
          <w:sz w:val="28"/>
          <w:szCs w:val="28"/>
        </w:rPr>
        <w:t>设置为</w:t>
      </w:r>
      <w:r>
        <w:rPr>
          <w:rFonts w:hint="eastAsia" w:hAnsi="宋体" w:cs="仿宋"/>
          <w:bCs/>
          <w:sz w:val="28"/>
          <w:szCs w:val="28"/>
        </w:rPr>
        <w:t>商务1</w:t>
      </w:r>
      <w:r>
        <w:rPr>
          <w:rFonts w:hAnsi="宋体" w:cs="仿宋"/>
          <w:bCs/>
          <w:sz w:val="28"/>
          <w:szCs w:val="28"/>
        </w:rPr>
        <w:t>0</w:t>
      </w:r>
      <w:r>
        <w:rPr>
          <w:rFonts w:hint="eastAsia" w:hAnsi="宋体" w:cs="仿宋"/>
          <w:bCs/>
          <w:sz w:val="28"/>
          <w:szCs w:val="28"/>
        </w:rPr>
        <w:t>分</w:t>
      </w:r>
      <w:r>
        <w:rPr>
          <w:rFonts w:hAnsi="宋体" w:cs="仿宋"/>
          <w:bCs/>
          <w:sz w:val="28"/>
          <w:szCs w:val="28"/>
        </w:rPr>
        <w:t>，技术</w:t>
      </w:r>
      <w:r>
        <w:rPr>
          <w:rFonts w:hint="eastAsia" w:hAnsi="宋体" w:cs="仿宋"/>
          <w:bCs/>
          <w:sz w:val="28"/>
          <w:szCs w:val="28"/>
        </w:rPr>
        <w:t>分20分、</w:t>
      </w:r>
      <w:r>
        <w:rPr>
          <w:rFonts w:hAnsi="宋体" w:cs="仿宋"/>
          <w:bCs/>
          <w:sz w:val="28"/>
          <w:szCs w:val="28"/>
        </w:rPr>
        <w:t>价格分</w:t>
      </w:r>
      <w:r>
        <w:rPr>
          <w:rFonts w:hint="eastAsia" w:hAnsi="宋体" w:cs="仿宋"/>
          <w:bCs/>
          <w:sz w:val="28"/>
          <w:szCs w:val="28"/>
        </w:rPr>
        <w:t>7</w:t>
      </w:r>
      <w:r>
        <w:rPr>
          <w:rFonts w:hAnsi="宋体" w:cs="仿宋"/>
          <w:bCs/>
          <w:sz w:val="28"/>
          <w:szCs w:val="28"/>
        </w:rPr>
        <w:t>0</w:t>
      </w:r>
      <w:r>
        <w:rPr>
          <w:rFonts w:hint="eastAsia" w:hAnsi="宋体" w:cs="仿宋"/>
          <w:bCs/>
          <w:sz w:val="28"/>
          <w:szCs w:val="28"/>
        </w:rPr>
        <w:t>分。</w:t>
      </w:r>
    </w:p>
    <w:p w14:paraId="5BE1A88C">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eastAsia="zh-CN"/>
        </w:rPr>
        <w:t>（一）评标基准价计算方法</w:t>
      </w:r>
    </w:p>
    <w:p w14:paraId="1D46D47C">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eastAsia="zh-CN"/>
        </w:rPr>
        <w:t>1、投标人评标价高于全部通过初步评审的投标人评标价算术平均值</w:t>
      </w:r>
      <w:r>
        <w:rPr>
          <w:rFonts w:hint="eastAsia" w:asciiTheme="minorEastAsia" w:hAnsiTheme="minorEastAsia"/>
          <w:sz w:val="28"/>
          <w:szCs w:val="28"/>
          <w:lang w:val="en-US" w:eastAsia="zh-CN"/>
        </w:rPr>
        <w:t>20</w:t>
      </w:r>
      <w:r>
        <w:rPr>
          <w:rFonts w:hint="eastAsia" w:asciiTheme="minorEastAsia" w:hAnsiTheme="minorEastAsia"/>
          <w:sz w:val="28"/>
          <w:szCs w:val="28"/>
          <w:lang w:eastAsia="zh-CN"/>
        </w:rPr>
        <w:t>%的不参与评标基准价的计算（通过初步评审的投标人不足四家的不适用此条）</w:t>
      </w:r>
    </w:p>
    <w:p w14:paraId="3C4C40EB">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eastAsia="zh-CN"/>
        </w:rPr>
        <w:t>2、评标基准价计算方法为：</w:t>
      </w:r>
    </w:p>
    <w:p w14:paraId="67F7C192">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eastAsia="zh-CN"/>
        </w:rPr>
        <w:t>（1）当通过初步评审的投标人为7家或7家以上时，其计算方法为：</w:t>
      </w:r>
    </w:p>
    <w:p w14:paraId="5C26947F">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eastAsia="zh-CN"/>
        </w:rPr>
        <w:t xml:space="preserve">评标基准价=（所有有效投标人评标价之和-最高评标价-最低评标价）/（有效投标单位数-2）× </w:t>
      </w:r>
      <w:r>
        <w:rPr>
          <w:rFonts w:hint="eastAsia" w:asciiTheme="minorEastAsia" w:hAnsiTheme="minorEastAsia"/>
          <w:sz w:val="28"/>
          <w:szCs w:val="28"/>
          <w:lang w:val="en-US" w:eastAsia="zh-CN"/>
        </w:rPr>
        <w:t>95</w:t>
      </w:r>
      <w:r>
        <w:rPr>
          <w:rFonts w:hint="eastAsia" w:asciiTheme="minorEastAsia" w:hAnsiTheme="minorEastAsia"/>
          <w:sz w:val="28"/>
          <w:szCs w:val="28"/>
          <w:lang w:eastAsia="zh-CN"/>
        </w:rPr>
        <w:t xml:space="preserve"> %</w:t>
      </w:r>
    </w:p>
    <w:p w14:paraId="78ABD757">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eastAsia="zh-CN"/>
        </w:rPr>
        <w:t>（2）当通过初步评审的投标人为7家以下时，其计算方法为：</w:t>
      </w:r>
    </w:p>
    <w:p w14:paraId="47E3FBCB">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eastAsia="zh-CN"/>
        </w:rPr>
        <w:t>评标基准价=通过初步评审投标人评标价的算术平均值×</w:t>
      </w:r>
      <w:r>
        <w:rPr>
          <w:rFonts w:hint="eastAsia" w:asciiTheme="minorEastAsia" w:hAnsiTheme="minorEastAsia"/>
          <w:sz w:val="28"/>
          <w:szCs w:val="28"/>
          <w:lang w:val="en-US" w:eastAsia="zh-CN"/>
        </w:rPr>
        <w:t>95</w:t>
      </w:r>
      <w:r>
        <w:rPr>
          <w:rFonts w:hint="eastAsia" w:asciiTheme="minorEastAsia" w:hAnsiTheme="minorEastAsia"/>
          <w:sz w:val="28"/>
          <w:szCs w:val="28"/>
          <w:lang w:eastAsia="zh-CN"/>
        </w:rPr>
        <w:t>%</w:t>
      </w:r>
    </w:p>
    <w:p w14:paraId="3B83E232">
      <w:pPr>
        <w:ind w:firstLine="560" w:firstLineChars="200"/>
        <w:rPr>
          <w:rFonts w:hint="eastAsia" w:asciiTheme="minorEastAsia" w:hAnsiTheme="minorEastAsia"/>
          <w:sz w:val="28"/>
          <w:szCs w:val="28"/>
          <w:lang w:eastAsia="zh-CN"/>
        </w:rPr>
      </w:pPr>
      <w:r>
        <w:rPr>
          <w:rFonts w:hint="eastAsia" w:asciiTheme="minorEastAsia" w:hAnsiTheme="minorEastAsia"/>
          <w:sz w:val="28"/>
          <w:szCs w:val="28"/>
          <w:lang w:eastAsia="zh-CN"/>
        </w:rPr>
        <w:t>（二）投标人评标价格的偏差率δ</w:t>
      </w:r>
    </w:p>
    <w:p w14:paraId="38B8051A">
      <w:pPr>
        <w:pStyle w:val="15"/>
        <w:adjustRightInd w:val="0"/>
        <w:snapToGrid w:val="0"/>
        <w:spacing w:line="560" w:lineRule="exact"/>
        <w:outlineLvl w:val="1"/>
        <w:rPr>
          <w:rFonts w:hint="eastAsia" w:asciiTheme="minorEastAsia" w:hAnsiTheme="minorEastAsia"/>
          <w:sz w:val="28"/>
          <w:szCs w:val="28"/>
          <w:lang w:eastAsia="zh-CN"/>
        </w:rPr>
      </w:pPr>
      <w:r>
        <w:rPr>
          <w:rFonts w:hint="eastAsia" w:asciiTheme="minorEastAsia" w:hAnsiTheme="minorEastAsia"/>
          <w:sz w:val="28"/>
          <w:szCs w:val="28"/>
          <w:lang w:eastAsia="zh-CN"/>
        </w:rPr>
        <w:t>当δ=0时，得75分；</w:t>
      </w:r>
    </w:p>
    <w:p w14:paraId="41DD4CA9">
      <w:pPr>
        <w:pStyle w:val="15"/>
        <w:adjustRightInd w:val="0"/>
        <w:snapToGrid w:val="0"/>
        <w:spacing w:line="560" w:lineRule="exact"/>
        <w:outlineLvl w:val="1"/>
        <w:rPr>
          <w:rFonts w:hint="eastAsia" w:asciiTheme="minorEastAsia" w:hAnsiTheme="minorEastAsia"/>
          <w:sz w:val="28"/>
          <w:szCs w:val="28"/>
          <w:lang w:eastAsia="zh-CN"/>
        </w:rPr>
      </w:pPr>
      <w:r>
        <w:rPr>
          <w:rFonts w:hint="eastAsia" w:asciiTheme="minorEastAsia" w:hAnsiTheme="minorEastAsia"/>
          <w:sz w:val="28"/>
          <w:szCs w:val="28"/>
          <w:lang w:eastAsia="zh-CN"/>
        </w:rPr>
        <w:t>当δ＞0时，则投标报价得分在75分的基础上，δ每增加1个百分点，则扣减1分，最低扣至0分为止；</w:t>
      </w:r>
    </w:p>
    <w:p w14:paraId="61C5B232">
      <w:pPr>
        <w:pStyle w:val="15"/>
        <w:adjustRightInd w:val="0"/>
        <w:snapToGrid w:val="0"/>
        <w:spacing w:line="560" w:lineRule="exact"/>
        <w:outlineLvl w:val="1"/>
        <w:rPr>
          <w:rFonts w:hint="eastAsia" w:asciiTheme="minorEastAsia" w:hAnsiTheme="minorEastAsia"/>
          <w:sz w:val="28"/>
          <w:szCs w:val="28"/>
          <w:lang w:eastAsia="zh-CN"/>
        </w:rPr>
      </w:pPr>
      <w:r>
        <w:rPr>
          <w:rFonts w:hint="eastAsia" w:asciiTheme="minorEastAsia" w:hAnsiTheme="minorEastAsia"/>
          <w:sz w:val="28"/>
          <w:szCs w:val="28"/>
          <w:lang w:eastAsia="zh-CN"/>
        </w:rPr>
        <w:t>当δ＜0时，则投标报价得分在75分的基础上，δ每减少1个百分点，则增加1分，最高加至100分；当得分超过100分后，δ每继续减少1个百分点，投标报价得分在100分的基础上扣减0.5分，最低扣至80分为止；</w:t>
      </w:r>
    </w:p>
    <w:p w14:paraId="73466E0B">
      <w:pPr>
        <w:pStyle w:val="15"/>
        <w:adjustRightInd w:val="0"/>
        <w:snapToGrid w:val="0"/>
        <w:spacing w:line="560" w:lineRule="exact"/>
        <w:outlineLvl w:val="1"/>
        <w:rPr>
          <w:rFonts w:hint="eastAsia" w:asciiTheme="minorEastAsia" w:hAnsiTheme="minorEastAsia"/>
          <w:sz w:val="28"/>
          <w:szCs w:val="28"/>
          <w:lang w:eastAsia="zh-CN"/>
        </w:rPr>
      </w:pPr>
      <w:r>
        <w:rPr>
          <w:rFonts w:hint="eastAsia" w:asciiTheme="minorEastAsia" w:hAnsiTheme="minorEastAsia"/>
          <w:sz w:val="28"/>
          <w:szCs w:val="28"/>
          <w:lang w:eastAsia="zh-CN"/>
        </w:rPr>
        <w:t>d.其他情形，按中间插入法计算投标报价得分。</w:t>
      </w:r>
    </w:p>
    <w:p w14:paraId="4E06C4F3">
      <w:pPr>
        <w:pStyle w:val="15"/>
        <w:adjustRightInd w:val="0"/>
        <w:snapToGrid w:val="0"/>
        <w:spacing w:line="560" w:lineRule="exact"/>
        <w:outlineLvl w:val="1"/>
        <w:rPr>
          <w:rFonts w:hAnsi="宋体" w:cs="仿宋"/>
          <w:b/>
          <w:bCs/>
          <w:sz w:val="28"/>
          <w:szCs w:val="28"/>
        </w:rPr>
      </w:pPr>
      <w:r>
        <w:rPr>
          <w:rFonts w:hint="eastAsia" w:hAnsi="宋体" w:cs="仿宋"/>
          <w:b/>
          <w:bCs/>
          <w:sz w:val="28"/>
          <w:szCs w:val="28"/>
        </w:rPr>
        <w:t>三、评审程序</w:t>
      </w:r>
      <w:bookmarkEnd w:id="13"/>
      <w:bookmarkEnd w:id="14"/>
      <w:bookmarkEnd w:id="15"/>
      <w:bookmarkEnd w:id="16"/>
      <w:bookmarkEnd w:id="17"/>
      <w:bookmarkEnd w:id="18"/>
    </w:p>
    <w:p w14:paraId="2FFBB02B">
      <w:pPr>
        <w:snapToGrid w:val="0"/>
        <w:spacing w:line="560" w:lineRule="exact"/>
        <w:ind w:firstLine="560" w:firstLineChars="200"/>
        <w:jc w:val="left"/>
        <w:rPr>
          <w:rFonts w:ascii="宋体" w:hAnsi="宋体" w:cs="仿宋"/>
          <w:sz w:val="28"/>
          <w:szCs w:val="28"/>
        </w:rPr>
      </w:pPr>
      <w:r>
        <w:rPr>
          <w:rFonts w:hint="eastAsia" w:ascii="宋体" w:hAnsi="宋体" w:cs="仿宋"/>
          <w:sz w:val="28"/>
          <w:szCs w:val="28"/>
        </w:rPr>
        <w:t>对符合相关资格条件参评方从商务、技术和报价价格等方面进行评审，评标标准及权重详见附件。</w:t>
      </w:r>
    </w:p>
    <w:p w14:paraId="17A5C908">
      <w:pPr>
        <w:spacing w:line="560" w:lineRule="exact"/>
        <w:rPr>
          <w:rFonts w:ascii="宋体" w:hAnsi="宋体" w:cs="仿宋"/>
          <w:b/>
          <w:sz w:val="28"/>
          <w:szCs w:val="28"/>
        </w:rPr>
      </w:pPr>
      <w:r>
        <w:rPr>
          <w:rFonts w:hint="eastAsia" w:ascii="宋体" w:hAnsi="宋体" w:cs="仿宋"/>
          <w:b/>
          <w:sz w:val="28"/>
          <w:szCs w:val="28"/>
        </w:rPr>
        <w:t>四、评审结果</w:t>
      </w:r>
    </w:p>
    <w:p w14:paraId="43173ECC">
      <w:pPr>
        <w:spacing w:line="560" w:lineRule="exact"/>
        <w:ind w:firstLine="551" w:firstLineChars="196"/>
        <w:rPr>
          <w:rFonts w:ascii="宋体" w:hAnsi="宋体" w:cs="仿宋"/>
          <w:bCs/>
          <w:sz w:val="28"/>
          <w:szCs w:val="28"/>
        </w:rPr>
      </w:pPr>
      <w:r>
        <w:rPr>
          <w:rFonts w:hint="eastAsia" w:ascii="宋体" w:hAnsi="宋体" w:cs="仿宋"/>
          <w:b/>
          <w:sz w:val="28"/>
          <w:szCs w:val="28"/>
        </w:rPr>
        <w:t>1.</w:t>
      </w:r>
      <w:r>
        <w:rPr>
          <w:rFonts w:hint="eastAsia" w:ascii="宋体" w:hAnsi="宋体" w:cs="仿宋"/>
          <w:sz w:val="28"/>
          <w:szCs w:val="28"/>
        </w:rPr>
        <w:t>评审小组将根据总得分由高到低排列次序（得分相同时，以报价由低到高顺序排列；得分相同且报价相同的，按技术指标优劣顺序排列）推荐中选服务单位</w:t>
      </w:r>
      <w:r>
        <w:rPr>
          <w:rFonts w:hint="eastAsia" w:ascii="宋体" w:hAnsi="宋体" w:cs="仿宋"/>
          <w:bCs/>
          <w:sz w:val="28"/>
          <w:szCs w:val="28"/>
        </w:rPr>
        <w:t>，并推荐中选候选人。</w:t>
      </w:r>
    </w:p>
    <w:p w14:paraId="120A8F6E">
      <w:pPr>
        <w:spacing w:line="560" w:lineRule="exact"/>
        <w:ind w:firstLine="551" w:firstLineChars="196"/>
        <w:rPr>
          <w:rFonts w:ascii="宋体" w:hAnsi="宋体" w:cs="仿宋"/>
          <w:sz w:val="28"/>
          <w:szCs w:val="28"/>
        </w:rPr>
      </w:pPr>
      <w:r>
        <w:rPr>
          <w:rFonts w:hint="eastAsia" w:ascii="宋体" w:hAnsi="宋体" w:cs="仿宋"/>
          <w:b/>
          <w:sz w:val="28"/>
          <w:szCs w:val="28"/>
        </w:rPr>
        <w:t>2</w:t>
      </w:r>
      <w:r>
        <w:rPr>
          <w:rFonts w:hint="eastAsia" w:ascii="宋体" w:hAnsi="宋体" w:cs="仿宋"/>
          <w:bCs/>
          <w:sz w:val="28"/>
          <w:szCs w:val="28"/>
        </w:rPr>
        <w:t>.</w:t>
      </w:r>
      <w:r>
        <w:rPr>
          <w:rFonts w:hint="eastAsia" w:ascii="宋体" w:hAnsi="宋体" w:cs="仿宋"/>
          <w:sz w:val="28"/>
          <w:szCs w:val="28"/>
        </w:rPr>
        <w:t>采购单位应当确定评审小组推荐排名第一的中选候选人为中选人。排名第一的中选候选人中有放弃中选、因不可抗力提出不能履行合同，或者招标文件规定应当提交履约保证金而在规定的期限内未能提交的，采购单位可以确定排名第二的中选候选人为中选人。排名第二的中选候选人因前款规定的同样原因不能签订合同的，采购单位可以确定排名第三的中选候选人为中选人，其余以此类推。</w:t>
      </w:r>
    </w:p>
    <w:p w14:paraId="04193046">
      <w:pPr>
        <w:pStyle w:val="3"/>
        <w:tabs>
          <w:tab w:val="left" w:pos="2472"/>
        </w:tabs>
        <w:spacing w:line="560" w:lineRule="exact"/>
        <w:ind w:firstLine="560" w:firstLineChars="200"/>
        <w:jc w:val="left"/>
        <w:rPr>
          <w:rFonts w:hAnsi="宋体" w:cs="仿宋"/>
          <w:sz w:val="28"/>
          <w:szCs w:val="28"/>
        </w:rPr>
      </w:pPr>
      <w:r>
        <w:rPr>
          <w:rFonts w:hint="eastAsia" w:hAnsi="宋体" w:cs="仿宋"/>
          <w:sz w:val="28"/>
          <w:szCs w:val="28"/>
        </w:rPr>
        <w:t>3.评审小组完成评审后，</w:t>
      </w:r>
      <w:r>
        <w:rPr>
          <w:rFonts w:hint="eastAsia" w:hAnsi="宋体" w:cs="仿宋"/>
          <w:sz w:val="28"/>
          <w:szCs w:val="28"/>
          <w:lang w:eastAsia="zh-CN"/>
        </w:rPr>
        <w:t>采购人形成书面评审报告，推荐中标候选人</w:t>
      </w:r>
      <w:r>
        <w:rPr>
          <w:rFonts w:hint="eastAsia" w:hAnsi="宋体" w:cs="仿宋"/>
          <w:sz w:val="28"/>
          <w:szCs w:val="28"/>
        </w:rPr>
        <w:t>。</w:t>
      </w:r>
    </w:p>
    <w:p w14:paraId="7F38B65C">
      <w:pPr>
        <w:pStyle w:val="3"/>
        <w:tabs>
          <w:tab w:val="left" w:pos="2472"/>
        </w:tabs>
        <w:spacing w:line="560" w:lineRule="exact"/>
        <w:ind w:firstLine="560" w:firstLineChars="200"/>
        <w:jc w:val="left"/>
        <w:rPr>
          <w:rFonts w:hAnsi="宋体" w:cs="仿宋"/>
          <w:sz w:val="28"/>
          <w:szCs w:val="28"/>
        </w:rPr>
      </w:pPr>
      <w:r>
        <w:rPr>
          <w:rFonts w:hint="eastAsia" w:hAnsi="宋体" w:cs="仿宋"/>
          <w:sz w:val="28"/>
          <w:szCs w:val="28"/>
        </w:rPr>
        <w:t>4.采购人应</w:t>
      </w:r>
      <w:r>
        <w:rPr>
          <w:rFonts w:hint="eastAsia" w:hAnsi="宋体" w:cs="仿宋"/>
          <w:sz w:val="28"/>
          <w:szCs w:val="28"/>
          <w:lang w:eastAsia="zh-CN"/>
        </w:rPr>
        <w:t>将中选结果告知</w:t>
      </w:r>
      <w:r>
        <w:rPr>
          <w:rFonts w:hint="eastAsia" w:hAnsi="宋体" w:cs="仿宋"/>
          <w:sz w:val="28"/>
          <w:szCs w:val="28"/>
        </w:rPr>
        <w:t>中选单位</w:t>
      </w:r>
      <w:r>
        <w:rPr>
          <w:rFonts w:hint="eastAsia" w:hAnsi="宋体" w:cs="仿宋"/>
          <w:sz w:val="28"/>
          <w:szCs w:val="28"/>
          <w:lang w:eastAsia="zh-CN"/>
        </w:rPr>
        <w:t>，同步</w:t>
      </w:r>
      <w:r>
        <w:rPr>
          <w:rFonts w:hint="eastAsia" w:hAnsi="宋体" w:cs="仿宋"/>
          <w:sz w:val="28"/>
          <w:szCs w:val="28"/>
        </w:rPr>
        <w:t>告知未中选单位</w:t>
      </w:r>
      <w:r>
        <w:rPr>
          <w:rFonts w:hint="eastAsia" w:hAnsi="宋体" w:cs="仿宋"/>
          <w:sz w:val="28"/>
          <w:szCs w:val="28"/>
          <w:lang w:eastAsia="zh-CN"/>
        </w:rPr>
        <w:t>落选</w:t>
      </w:r>
      <w:r>
        <w:rPr>
          <w:rFonts w:hint="eastAsia" w:hAnsi="宋体" w:cs="仿宋"/>
          <w:sz w:val="28"/>
          <w:szCs w:val="28"/>
        </w:rPr>
        <w:t>。</w:t>
      </w:r>
    </w:p>
    <w:p w14:paraId="4D769C7C">
      <w:pPr>
        <w:snapToGrid w:val="0"/>
        <w:spacing w:line="560" w:lineRule="exact"/>
        <w:rPr>
          <w:rFonts w:hint="eastAsia" w:ascii="宋体" w:hAnsi="宋体" w:cs="Arial"/>
          <w:b/>
          <w:sz w:val="32"/>
          <w:szCs w:val="32"/>
        </w:rPr>
      </w:pPr>
      <w:r>
        <w:rPr>
          <w:rFonts w:hint="eastAsia" w:ascii="宋体" w:hAnsi="宋体" w:cs="华文仿宋"/>
          <w:b/>
          <w:sz w:val="32"/>
          <w:szCs w:val="32"/>
        </w:rPr>
        <w:br w:type="page"/>
      </w:r>
      <w:r>
        <w:rPr>
          <w:rFonts w:hint="eastAsia" w:ascii="宋体" w:hAnsi="宋体" w:cs="Arial"/>
          <w:b/>
          <w:sz w:val="32"/>
          <w:szCs w:val="32"/>
        </w:rPr>
        <w:t>附件     南宁仓库2024</w:t>
      </w:r>
      <w:r>
        <w:rPr>
          <w:rFonts w:hint="eastAsia" w:ascii="宋体" w:hAnsi="宋体" w:cs="Arial"/>
          <w:b/>
          <w:sz w:val="32"/>
          <w:szCs w:val="32"/>
          <w:lang w:val="en-US" w:eastAsia="zh-CN"/>
        </w:rPr>
        <w:t>-2025</w:t>
      </w:r>
      <w:r>
        <w:rPr>
          <w:rFonts w:hint="eastAsia" w:ascii="宋体" w:hAnsi="宋体" w:cs="Arial"/>
          <w:b/>
          <w:sz w:val="32"/>
          <w:szCs w:val="32"/>
        </w:rPr>
        <w:t>年物流运输项目评分表</w:t>
      </w:r>
    </w:p>
    <w:p w14:paraId="70359B7F">
      <w:pPr>
        <w:snapToGrid w:val="0"/>
        <w:spacing w:line="160" w:lineRule="atLeast"/>
        <w:rPr>
          <w:rFonts w:ascii="宋体" w:hAnsi="宋体" w:cs="Arial"/>
          <w:b/>
          <w:sz w:val="30"/>
          <w:szCs w:val="30"/>
        </w:rPr>
      </w:pPr>
    </w:p>
    <w:p w14:paraId="60FC7309">
      <w:pPr>
        <w:snapToGrid w:val="0"/>
        <w:spacing w:line="200" w:lineRule="atLeast"/>
        <w:rPr>
          <w:rFonts w:ascii="宋体" w:hAnsi="宋体" w:cs="Arial"/>
          <w:sz w:val="22"/>
          <w:szCs w:val="28"/>
        </w:rPr>
      </w:pPr>
      <w:r>
        <w:rPr>
          <w:rFonts w:hint="eastAsia" w:ascii="宋体" w:hAnsi="宋体" w:cs="Arial"/>
          <w:sz w:val="22"/>
          <w:szCs w:val="28"/>
        </w:rPr>
        <w:t>报价单位</w:t>
      </w:r>
      <w:r>
        <w:rPr>
          <w:rFonts w:ascii="宋体" w:hAnsi="宋体" w:cs="Arial"/>
          <w:sz w:val="22"/>
          <w:szCs w:val="28"/>
        </w:rPr>
        <w:t>：</w:t>
      </w:r>
    </w:p>
    <w:tbl>
      <w:tblPr>
        <w:tblStyle w:val="7"/>
        <w:tblW w:w="10167" w:type="dxa"/>
        <w:tblInd w:w="-431" w:type="dxa"/>
        <w:tblLayout w:type="autofit"/>
        <w:tblCellMar>
          <w:top w:w="0" w:type="dxa"/>
          <w:left w:w="108" w:type="dxa"/>
          <w:bottom w:w="0" w:type="dxa"/>
          <w:right w:w="108" w:type="dxa"/>
        </w:tblCellMar>
      </w:tblPr>
      <w:tblGrid>
        <w:gridCol w:w="568"/>
        <w:gridCol w:w="709"/>
        <w:gridCol w:w="7872"/>
        <w:gridCol w:w="576"/>
        <w:gridCol w:w="442"/>
      </w:tblGrid>
      <w:tr w14:paraId="23D2A3AF">
        <w:tblPrEx>
          <w:tblCellMar>
            <w:top w:w="0" w:type="dxa"/>
            <w:left w:w="108" w:type="dxa"/>
            <w:bottom w:w="0" w:type="dxa"/>
            <w:right w:w="108" w:type="dxa"/>
          </w:tblCellMar>
        </w:tblPrEx>
        <w:trPr>
          <w:trHeight w:val="519" w:hRule="atLeast"/>
        </w:trPr>
        <w:tc>
          <w:tcPr>
            <w:tcW w:w="568" w:type="dxa"/>
            <w:tcBorders>
              <w:top w:val="single" w:color="auto" w:sz="4" w:space="0"/>
              <w:left w:val="single" w:color="auto" w:sz="4" w:space="0"/>
              <w:bottom w:val="single" w:color="auto" w:sz="4" w:space="0"/>
              <w:right w:val="single" w:color="auto" w:sz="4" w:space="0"/>
            </w:tcBorders>
            <w:shd w:val="clear" w:color="auto" w:fill="auto"/>
            <w:vAlign w:val="center"/>
          </w:tcPr>
          <w:p w14:paraId="4B4473F9">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序号</w:t>
            </w:r>
          </w:p>
        </w:tc>
        <w:tc>
          <w:tcPr>
            <w:tcW w:w="709" w:type="dxa"/>
            <w:tcBorders>
              <w:top w:val="single" w:color="auto" w:sz="4" w:space="0"/>
              <w:left w:val="nil"/>
              <w:bottom w:val="single" w:color="auto" w:sz="4" w:space="0"/>
              <w:right w:val="single" w:color="auto" w:sz="4" w:space="0"/>
            </w:tcBorders>
            <w:shd w:val="clear" w:color="auto" w:fill="auto"/>
            <w:vAlign w:val="center"/>
          </w:tcPr>
          <w:p w14:paraId="3878DA90">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评分项目</w:t>
            </w:r>
          </w:p>
        </w:tc>
        <w:tc>
          <w:tcPr>
            <w:tcW w:w="7872" w:type="dxa"/>
            <w:tcBorders>
              <w:top w:val="single" w:color="auto" w:sz="4" w:space="0"/>
              <w:left w:val="nil"/>
              <w:bottom w:val="single" w:color="auto" w:sz="4" w:space="0"/>
              <w:right w:val="single" w:color="auto" w:sz="4" w:space="0"/>
            </w:tcBorders>
            <w:shd w:val="clear" w:color="auto" w:fill="auto"/>
            <w:vAlign w:val="center"/>
          </w:tcPr>
          <w:p w14:paraId="7402FEAD">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评分标准</w:t>
            </w:r>
          </w:p>
        </w:tc>
        <w:tc>
          <w:tcPr>
            <w:tcW w:w="576" w:type="dxa"/>
            <w:tcBorders>
              <w:top w:val="single" w:color="auto" w:sz="4" w:space="0"/>
              <w:left w:val="nil"/>
              <w:bottom w:val="single" w:color="auto" w:sz="4" w:space="0"/>
              <w:right w:val="single" w:color="auto" w:sz="4" w:space="0"/>
            </w:tcBorders>
            <w:shd w:val="clear" w:color="auto" w:fill="auto"/>
            <w:vAlign w:val="center"/>
          </w:tcPr>
          <w:p w14:paraId="72487523">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 xml:space="preserve">标准分 </w:t>
            </w:r>
          </w:p>
        </w:tc>
        <w:tc>
          <w:tcPr>
            <w:tcW w:w="442" w:type="dxa"/>
            <w:tcBorders>
              <w:top w:val="single" w:color="auto" w:sz="4" w:space="0"/>
              <w:left w:val="nil"/>
              <w:bottom w:val="single" w:color="auto" w:sz="4" w:space="0"/>
              <w:right w:val="single" w:color="auto" w:sz="4" w:space="0"/>
            </w:tcBorders>
            <w:shd w:val="clear" w:color="auto" w:fill="auto"/>
            <w:vAlign w:val="center"/>
          </w:tcPr>
          <w:p w14:paraId="363B53A5">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得分</w:t>
            </w:r>
          </w:p>
        </w:tc>
      </w:tr>
      <w:tr w14:paraId="38803FFB">
        <w:tblPrEx>
          <w:tblCellMar>
            <w:top w:w="0" w:type="dxa"/>
            <w:left w:w="108" w:type="dxa"/>
            <w:bottom w:w="0" w:type="dxa"/>
            <w:right w:w="108" w:type="dxa"/>
          </w:tblCellMar>
        </w:tblPrEx>
        <w:trPr>
          <w:trHeight w:val="1536" w:hRule="atLeast"/>
        </w:trPr>
        <w:tc>
          <w:tcPr>
            <w:tcW w:w="568" w:type="dxa"/>
            <w:tcBorders>
              <w:top w:val="nil"/>
              <w:left w:val="single" w:color="auto" w:sz="4" w:space="0"/>
              <w:bottom w:val="single" w:color="auto" w:sz="4" w:space="0"/>
              <w:right w:val="single" w:color="auto" w:sz="4" w:space="0"/>
            </w:tcBorders>
            <w:shd w:val="clear" w:color="auto" w:fill="auto"/>
            <w:vAlign w:val="center"/>
          </w:tcPr>
          <w:p w14:paraId="2774F0B2">
            <w:pPr>
              <w:widowControl/>
              <w:jc w:val="left"/>
              <w:rPr>
                <w:rFonts w:ascii="宋体" w:hAnsi="宋体" w:eastAsia="宋体" w:cs="宋体"/>
                <w:color w:val="000000"/>
                <w:kern w:val="0"/>
                <w:sz w:val="22"/>
              </w:rPr>
            </w:pPr>
            <w:r>
              <w:rPr>
                <w:rFonts w:hint="eastAsia" w:ascii="宋体" w:hAnsi="宋体" w:eastAsia="宋体" w:cs="宋体"/>
                <w:color w:val="000000"/>
                <w:kern w:val="0"/>
                <w:sz w:val="22"/>
              </w:rPr>
              <w:t>1</w:t>
            </w:r>
          </w:p>
        </w:tc>
        <w:tc>
          <w:tcPr>
            <w:tcW w:w="709" w:type="dxa"/>
            <w:tcBorders>
              <w:top w:val="nil"/>
              <w:left w:val="nil"/>
              <w:bottom w:val="single" w:color="auto" w:sz="4" w:space="0"/>
              <w:right w:val="single" w:color="auto" w:sz="4" w:space="0"/>
            </w:tcBorders>
            <w:shd w:val="clear" w:color="auto" w:fill="auto"/>
            <w:vAlign w:val="center"/>
          </w:tcPr>
          <w:p w14:paraId="1800410D">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价格分</w:t>
            </w:r>
            <w:r>
              <w:rPr>
                <w:rFonts w:hint="eastAsia" w:ascii="宋体" w:hAnsi="宋体" w:eastAsia="宋体" w:cs="宋体"/>
                <w:color w:val="000000"/>
                <w:kern w:val="0"/>
                <w:sz w:val="22"/>
              </w:rPr>
              <w:br w:type="textWrapping"/>
            </w:r>
            <w:r>
              <w:rPr>
                <w:rFonts w:hint="eastAsia" w:ascii="宋体" w:hAnsi="宋体" w:eastAsia="宋体" w:cs="宋体"/>
                <w:color w:val="000000"/>
                <w:kern w:val="0"/>
                <w:sz w:val="22"/>
              </w:rPr>
              <w:t>（</w:t>
            </w:r>
            <w:r>
              <w:rPr>
                <w:rFonts w:ascii="宋体" w:hAnsi="宋体" w:eastAsia="宋体" w:cs="宋体"/>
                <w:color w:val="000000"/>
                <w:kern w:val="0"/>
                <w:sz w:val="22"/>
              </w:rPr>
              <w:t>7</w:t>
            </w:r>
            <w:r>
              <w:rPr>
                <w:rFonts w:hint="eastAsia" w:ascii="宋体" w:hAnsi="宋体" w:eastAsia="宋体" w:cs="宋体"/>
                <w:color w:val="000000"/>
                <w:kern w:val="0"/>
                <w:sz w:val="22"/>
              </w:rPr>
              <w:t>0分）</w:t>
            </w:r>
          </w:p>
        </w:tc>
        <w:tc>
          <w:tcPr>
            <w:tcW w:w="7872" w:type="dxa"/>
            <w:tcBorders>
              <w:top w:val="nil"/>
              <w:left w:val="nil"/>
              <w:bottom w:val="single" w:color="auto" w:sz="4" w:space="0"/>
              <w:right w:val="single" w:color="auto" w:sz="4" w:space="0"/>
            </w:tcBorders>
            <w:shd w:val="clear" w:color="auto" w:fill="auto"/>
            <w:vAlign w:val="center"/>
          </w:tcPr>
          <w:p w14:paraId="32EB5420">
            <w:pPr>
              <w:widowControl/>
              <w:jc w:val="left"/>
              <w:rPr>
                <w:rFonts w:hint="eastAsia" w:ascii="宋体" w:hAnsi="宋体" w:eastAsia="宋体" w:cs="宋体"/>
                <w:color w:val="000000"/>
                <w:kern w:val="0"/>
                <w:sz w:val="22"/>
                <w:lang w:eastAsia="zh-CN"/>
              </w:rPr>
            </w:pPr>
            <w:r>
              <w:rPr>
                <w:rFonts w:hint="eastAsia" w:ascii="宋体" w:hAnsi="宋体" w:eastAsia="宋体" w:cs="宋体"/>
                <w:color w:val="000000"/>
                <w:kern w:val="0"/>
                <w:sz w:val="22"/>
                <w:lang w:eastAsia="zh-CN"/>
              </w:rPr>
              <w:t>详见评审办法。</w:t>
            </w:r>
          </w:p>
        </w:tc>
        <w:tc>
          <w:tcPr>
            <w:tcW w:w="576" w:type="dxa"/>
            <w:tcBorders>
              <w:top w:val="nil"/>
              <w:left w:val="nil"/>
              <w:bottom w:val="single" w:color="auto" w:sz="4" w:space="0"/>
              <w:right w:val="single" w:color="auto" w:sz="4" w:space="0"/>
            </w:tcBorders>
            <w:shd w:val="clear" w:color="auto" w:fill="auto"/>
            <w:vAlign w:val="center"/>
          </w:tcPr>
          <w:p w14:paraId="40C9B7CC">
            <w:pPr>
              <w:widowControl/>
              <w:jc w:val="center"/>
              <w:rPr>
                <w:rFonts w:ascii="宋体" w:hAnsi="宋体" w:eastAsia="宋体" w:cs="宋体"/>
                <w:color w:val="000000"/>
                <w:kern w:val="0"/>
                <w:sz w:val="22"/>
              </w:rPr>
            </w:pPr>
            <w:r>
              <w:rPr>
                <w:rFonts w:ascii="宋体" w:hAnsi="宋体" w:eastAsia="宋体" w:cs="宋体"/>
                <w:color w:val="000000"/>
                <w:kern w:val="0"/>
                <w:sz w:val="22"/>
              </w:rPr>
              <w:t>7</w:t>
            </w:r>
            <w:r>
              <w:rPr>
                <w:rFonts w:hint="eastAsia" w:ascii="宋体" w:hAnsi="宋体" w:eastAsia="宋体" w:cs="宋体"/>
                <w:color w:val="000000"/>
                <w:kern w:val="0"/>
                <w:sz w:val="22"/>
              </w:rPr>
              <w:t>0</w:t>
            </w:r>
          </w:p>
        </w:tc>
        <w:tc>
          <w:tcPr>
            <w:tcW w:w="442" w:type="dxa"/>
            <w:tcBorders>
              <w:top w:val="nil"/>
              <w:left w:val="nil"/>
              <w:bottom w:val="single" w:color="auto" w:sz="4" w:space="0"/>
              <w:right w:val="single" w:color="auto" w:sz="4" w:space="0"/>
            </w:tcBorders>
            <w:shd w:val="clear" w:color="auto" w:fill="auto"/>
            <w:vAlign w:val="center"/>
          </w:tcPr>
          <w:p w14:paraId="5A4CEF23">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　</w:t>
            </w:r>
          </w:p>
        </w:tc>
      </w:tr>
      <w:tr w14:paraId="253E968D">
        <w:tblPrEx>
          <w:tblCellMar>
            <w:top w:w="0" w:type="dxa"/>
            <w:left w:w="108" w:type="dxa"/>
            <w:bottom w:w="0" w:type="dxa"/>
            <w:right w:w="108" w:type="dxa"/>
          </w:tblCellMar>
        </w:tblPrEx>
        <w:trPr>
          <w:trHeight w:val="246" w:hRule="atLeast"/>
        </w:trPr>
        <w:tc>
          <w:tcPr>
            <w:tcW w:w="568" w:type="dxa"/>
            <w:tcBorders>
              <w:top w:val="nil"/>
              <w:left w:val="single" w:color="auto" w:sz="4" w:space="0"/>
              <w:bottom w:val="single" w:color="auto" w:sz="4" w:space="0"/>
              <w:right w:val="nil"/>
            </w:tcBorders>
            <w:shd w:val="clear" w:color="auto" w:fill="auto"/>
            <w:vAlign w:val="center"/>
          </w:tcPr>
          <w:p w14:paraId="785972D2">
            <w:pPr>
              <w:widowControl/>
              <w:jc w:val="left"/>
              <w:rPr>
                <w:rFonts w:ascii="宋体" w:hAnsi="宋体" w:eastAsia="宋体" w:cs="宋体"/>
                <w:b/>
                <w:bCs/>
                <w:color w:val="000000"/>
                <w:kern w:val="0"/>
                <w:sz w:val="22"/>
              </w:rPr>
            </w:pPr>
            <w:r>
              <w:rPr>
                <w:rFonts w:hint="eastAsia" w:ascii="宋体" w:hAnsi="宋体" w:eastAsia="宋体" w:cs="宋体"/>
                <w:b/>
                <w:bCs/>
                <w:color w:val="000000"/>
                <w:kern w:val="0"/>
                <w:sz w:val="22"/>
              </w:rPr>
              <w:t>2</w:t>
            </w:r>
          </w:p>
        </w:tc>
        <w:tc>
          <w:tcPr>
            <w:tcW w:w="9599" w:type="dxa"/>
            <w:gridSpan w:val="4"/>
            <w:tcBorders>
              <w:top w:val="single" w:color="auto" w:sz="4" w:space="0"/>
              <w:left w:val="single" w:color="auto" w:sz="4" w:space="0"/>
              <w:bottom w:val="single" w:color="auto" w:sz="4" w:space="0"/>
              <w:right w:val="single" w:color="000000" w:sz="4" w:space="0"/>
            </w:tcBorders>
            <w:shd w:val="clear" w:color="auto" w:fill="auto"/>
            <w:vAlign w:val="center"/>
          </w:tcPr>
          <w:p w14:paraId="49EFC0B6">
            <w:pPr>
              <w:widowControl/>
              <w:jc w:val="left"/>
              <w:rPr>
                <w:rFonts w:ascii="宋体" w:hAnsi="宋体" w:eastAsia="宋体" w:cs="宋体"/>
                <w:b/>
                <w:bCs/>
                <w:color w:val="000000"/>
                <w:kern w:val="0"/>
                <w:sz w:val="22"/>
              </w:rPr>
            </w:pPr>
            <w:r>
              <w:rPr>
                <w:rFonts w:hint="eastAsia" w:ascii="宋体" w:hAnsi="宋体" w:eastAsia="宋体" w:cs="宋体"/>
                <w:b/>
                <w:bCs/>
                <w:color w:val="000000"/>
                <w:kern w:val="0"/>
                <w:sz w:val="22"/>
              </w:rPr>
              <w:t>技术分（20分）</w:t>
            </w:r>
          </w:p>
        </w:tc>
      </w:tr>
      <w:tr w14:paraId="111C90EF">
        <w:tblPrEx>
          <w:tblCellMar>
            <w:top w:w="0" w:type="dxa"/>
            <w:left w:w="108" w:type="dxa"/>
            <w:bottom w:w="0" w:type="dxa"/>
            <w:right w:w="108" w:type="dxa"/>
          </w:tblCellMar>
        </w:tblPrEx>
        <w:trPr>
          <w:trHeight w:val="2078" w:hRule="atLeast"/>
        </w:trPr>
        <w:tc>
          <w:tcPr>
            <w:tcW w:w="568" w:type="dxa"/>
            <w:tcBorders>
              <w:top w:val="nil"/>
              <w:left w:val="single" w:color="auto" w:sz="4" w:space="0"/>
              <w:bottom w:val="single" w:color="auto" w:sz="4" w:space="0"/>
              <w:right w:val="single" w:color="auto" w:sz="4" w:space="0"/>
            </w:tcBorders>
            <w:shd w:val="clear" w:color="auto" w:fill="auto"/>
            <w:vAlign w:val="center"/>
          </w:tcPr>
          <w:p w14:paraId="7F4029B2">
            <w:pPr>
              <w:widowControl/>
              <w:jc w:val="left"/>
              <w:rPr>
                <w:rFonts w:ascii="宋体" w:hAnsi="宋体" w:eastAsia="宋体" w:cs="宋体"/>
                <w:color w:val="000000"/>
                <w:kern w:val="0"/>
                <w:sz w:val="22"/>
              </w:rPr>
            </w:pPr>
            <w:r>
              <w:rPr>
                <w:rFonts w:hint="eastAsia" w:ascii="宋体" w:hAnsi="宋体" w:eastAsia="宋体" w:cs="宋体"/>
                <w:color w:val="000000"/>
                <w:kern w:val="0"/>
                <w:sz w:val="22"/>
              </w:rPr>
              <w:t>2.1</w:t>
            </w:r>
          </w:p>
        </w:tc>
        <w:tc>
          <w:tcPr>
            <w:tcW w:w="709" w:type="dxa"/>
            <w:tcBorders>
              <w:top w:val="nil"/>
              <w:left w:val="nil"/>
              <w:bottom w:val="single" w:color="auto" w:sz="4" w:space="0"/>
              <w:right w:val="single" w:color="auto" w:sz="4" w:space="0"/>
            </w:tcBorders>
            <w:shd w:val="clear" w:color="auto" w:fill="auto"/>
            <w:vAlign w:val="center"/>
          </w:tcPr>
          <w:p w14:paraId="5D4346FA">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技术方案分</w:t>
            </w:r>
          </w:p>
        </w:tc>
        <w:tc>
          <w:tcPr>
            <w:tcW w:w="7872" w:type="dxa"/>
            <w:tcBorders>
              <w:top w:val="nil"/>
              <w:left w:val="nil"/>
              <w:bottom w:val="single" w:color="auto" w:sz="4" w:space="0"/>
              <w:right w:val="single" w:color="auto" w:sz="4" w:space="0"/>
            </w:tcBorders>
            <w:shd w:val="clear" w:color="auto" w:fill="auto"/>
            <w:vAlign w:val="center"/>
          </w:tcPr>
          <w:p w14:paraId="278395A6">
            <w:pPr>
              <w:widowControl/>
              <w:jc w:val="left"/>
              <w:rPr>
                <w:rFonts w:ascii="宋体" w:hAnsi="宋体" w:eastAsia="宋体" w:cs="宋体"/>
                <w:color w:val="000000"/>
                <w:kern w:val="0"/>
                <w:sz w:val="22"/>
              </w:rPr>
            </w:pPr>
            <w:r>
              <w:rPr>
                <w:rFonts w:hint="eastAsia" w:ascii="宋体" w:hAnsi="宋体" w:eastAsia="宋体" w:cs="宋体"/>
                <w:color w:val="000000"/>
                <w:kern w:val="0"/>
                <w:sz w:val="22"/>
              </w:rPr>
              <w:t>投标人对运输过程中的管理和应急预案（包含但不限于临时性任务、运输量突增和大型节假日发运</w:t>
            </w:r>
            <w:r>
              <w:rPr>
                <w:rFonts w:ascii="宋体" w:hAnsi="宋体" w:eastAsia="宋体" w:cs="宋体"/>
                <w:color w:val="000000"/>
                <w:kern w:val="0"/>
                <w:sz w:val="22"/>
              </w:rPr>
              <w:t>等</w:t>
            </w:r>
            <w:r>
              <w:rPr>
                <w:rFonts w:hint="eastAsia" w:ascii="宋体" w:hAnsi="宋体" w:eastAsia="宋体" w:cs="宋体"/>
                <w:color w:val="000000"/>
                <w:kern w:val="0"/>
                <w:sz w:val="22"/>
              </w:rPr>
              <w:t>运输</w:t>
            </w:r>
            <w:r>
              <w:rPr>
                <w:rFonts w:ascii="宋体" w:hAnsi="宋体" w:eastAsia="宋体" w:cs="宋体"/>
                <w:color w:val="000000"/>
                <w:kern w:val="0"/>
                <w:sz w:val="22"/>
              </w:rPr>
              <w:t>类型</w:t>
            </w:r>
            <w:r>
              <w:rPr>
                <w:rFonts w:hint="eastAsia" w:ascii="宋体" w:hAnsi="宋体" w:eastAsia="宋体" w:cs="宋体"/>
                <w:color w:val="000000"/>
                <w:kern w:val="0"/>
                <w:sz w:val="22"/>
              </w:rPr>
              <w:t>的处理办法等），即面对突发事情的紧急处理方案的描述进行评审。</w:t>
            </w:r>
            <w:r>
              <w:rPr>
                <w:rFonts w:hint="eastAsia" w:ascii="宋体" w:hAnsi="宋体" w:eastAsia="宋体" w:cs="宋体"/>
                <w:color w:val="000000"/>
                <w:kern w:val="0"/>
                <w:sz w:val="22"/>
              </w:rPr>
              <w:br w:type="textWrapping"/>
            </w:r>
            <w:r>
              <w:rPr>
                <w:rFonts w:hint="eastAsia" w:ascii="宋体" w:hAnsi="宋体" w:eastAsia="宋体" w:cs="宋体"/>
                <w:color w:val="000000"/>
                <w:kern w:val="0"/>
                <w:sz w:val="22"/>
              </w:rPr>
              <w:t>一档（1～</w:t>
            </w:r>
            <w:r>
              <w:rPr>
                <w:rFonts w:ascii="宋体" w:hAnsi="宋体" w:eastAsia="宋体" w:cs="宋体"/>
                <w:color w:val="000000"/>
                <w:kern w:val="0"/>
                <w:sz w:val="22"/>
              </w:rPr>
              <w:t>3</w:t>
            </w:r>
            <w:r>
              <w:rPr>
                <w:rFonts w:hint="eastAsia" w:ascii="宋体" w:hAnsi="宋体" w:eastAsia="宋体" w:cs="宋体"/>
                <w:color w:val="000000"/>
                <w:kern w:val="0"/>
                <w:sz w:val="22"/>
              </w:rPr>
              <w:t>分）：方案方法及组织设计合理。</w:t>
            </w:r>
            <w:r>
              <w:rPr>
                <w:rFonts w:hint="eastAsia" w:ascii="宋体" w:hAnsi="宋体" w:eastAsia="宋体" w:cs="宋体"/>
                <w:color w:val="000000"/>
                <w:kern w:val="0"/>
                <w:sz w:val="22"/>
              </w:rPr>
              <w:br w:type="textWrapping"/>
            </w:r>
            <w:r>
              <w:rPr>
                <w:rFonts w:hint="eastAsia" w:ascii="宋体" w:hAnsi="宋体" w:eastAsia="宋体" w:cs="宋体"/>
                <w:color w:val="000000"/>
                <w:kern w:val="0"/>
                <w:sz w:val="22"/>
              </w:rPr>
              <w:t>二档（</w:t>
            </w:r>
            <w:r>
              <w:rPr>
                <w:rFonts w:ascii="宋体" w:hAnsi="宋体" w:eastAsia="宋体" w:cs="宋体"/>
                <w:color w:val="000000"/>
                <w:kern w:val="0"/>
                <w:sz w:val="22"/>
              </w:rPr>
              <w:t>3</w:t>
            </w:r>
            <w:r>
              <w:rPr>
                <w:rFonts w:hint="eastAsia" w:ascii="宋体" w:hAnsi="宋体" w:eastAsia="宋体" w:cs="宋体"/>
                <w:color w:val="000000"/>
                <w:kern w:val="0"/>
                <w:sz w:val="22"/>
              </w:rPr>
              <w:t>.</w:t>
            </w:r>
            <w:r>
              <w:rPr>
                <w:rFonts w:ascii="宋体" w:hAnsi="宋体" w:eastAsia="宋体" w:cs="宋体"/>
                <w:color w:val="000000"/>
                <w:kern w:val="0"/>
                <w:sz w:val="22"/>
              </w:rPr>
              <w:t>0</w:t>
            </w:r>
            <w:r>
              <w:rPr>
                <w:rFonts w:hint="eastAsia" w:ascii="宋体" w:hAnsi="宋体" w:eastAsia="宋体" w:cs="宋体"/>
                <w:color w:val="000000"/>
                <w:kern w:val="0"/>
                <w:sz w:val="22"/>
              </w:rPr>
              <w:t>1～</w:t>
            </w:r>
            <w:r>
              <w:rPr>
                <w:rFonts w:ascii="宋体" w:hAnsi="宋体" w:eastAsia="宋体" w:cs="宋体"/>
                <w:color w:val="000000"/>
                <w:kern w:val="0"/>
                <w:sz w:val="22"/>
              </w:rPr>
              <w:t>5</w:t>
            </w:r>
            <w:r>
              <w:rPr>
                <w:rFonts w:hint="eastAsia" w:ascii="宋体" w:hAnsi="宋体" w:eastAsia="宋体" w:cs="宋体"/>
                <w:color w:val="000000"/>
                <w:kern w:val="0"/>
                <w:sz w:val="22"/>
              </w:rPr>
              <w:t>分）：方案完整、可操作性一般、方法及组织设计较好。</w:t>
            </w:r>
            <w:r>
              <w:rPr>
                <w:rFonts w:hint="eastAsia" w:ascii="宋体" w:hAnsi="宋体" w:eastAsia="宋体" w:cs="宋体"/>
                <w:color w:val="000000"/>
                <w:kern w:val="0"/>
                <w:sz w:val="22"/>
              </w:rPr>
              <w:br w:type="textWrapping"/>
            </w:r>
            <w:r>
              <w:rPr>
                <w:rFonts w:hint="eastAsia" w:ascii="宋体" w:hAnsi="宋体" w:eastAsia="宋体" w:cs="宋体"/>
                <w:color w:val="000000"/>
                <w:kern w:val="0"/>
                <w:sz w:val="22"/>
              </w:rPr>
              <w:t>三档（</w:t>
            </w:r>
            <w:r>
              <w:rPr>
                <w:rFonts w:ascii="宋体" w:hAnsi="宋体" w:eastAsia="宋体" w:cs="宋体"/>
                <w:color w:val="000000"/>
                <w:kern w:val="0"/>
                <w:sz w:val="22"/>
              </w:rPr>
              <w:t>5.0</w:t>
            </w:r>
            <w:r>
              <w:rPr>
                <w:rFonts w:hint="eastAsia" w:ascii="宋体" w:hAnsi="宋体" w:eastAsia="宋体" w:cs="宋体"/>
                <w:color w:val="000000"/>
                <w:kern w:val="0"/>
                <w:sz w:val="22"/>
              </w:rPr>
              <w:t>1～</w:t>
            </w:r>
            <w:r>
              <w:rPr>
                <w:rFonts w:ascii="宋体" w:hAnsi="宋体" w:eastAsia="宋体" w:cs="宋体"/>
                <w:color w:val="000000"/>
                <w:kern w:val="0"/>
                <w:sz w:val="22"/>
              </w:rPr>
              <w:t>10</w:t>
            </w:r>
            <w:r>
              <w:rPr>
                <w:rFonts w:hint="eastAsia" w:ascii="宋体" w:hAnsi="宋体" w:eastAsia="宋体" w:cs="宋体"/>
                <w:color w:val="000000"/>
                <w:kern w:val="0"/>
                <w:sz w:val="22"/>
              </w:rPr>
              <w:t>分）：方案完整严谨、可操作性强、方法科学及组织设计优秀。</w:t>
            </w:r>
          </w:p>
        </w:tc>
        <w:tc>
          <w:tcPr>
            <w:tcW w:w="576" w:type="dxa"/>
            <w:tcBorders>
              <w:top w:val="nil"/>
              <w:left w:val="nil"/>
              <w:bottom w:val="single" w:color="auto" w:sz="4" w:space="0"/>
              <w:right w:val="single" w:color="auto" w:sz="4" w:space="0"/>
            </w:tcBorders>
            <w:shd w:val="clear" w:color="auto" w:fill="auto"/>
            <w:vAlign w:val="center"/>
          </w:tcPr>
          <w:p w14:paraId="3194C364">
            <w:pPr>
              <w:widowControl/>
              <w:jc w:val="left"/>
              <w:rPr>
                <w:rFonts w:ascii="宋体" w:hAnsi="宋体" w:eastAsia="宋体" w:cs="宋体"/>
                <w:color w:val="000000"/>
                <w:kern w:val="0"/>
                <w:sz w:val="22"/>
              </w:rPr>
            </w:pPr>
            <w:r>
              <w:rPr>
                <w:rFonts w:ascii="宋体" w:hAnsi="宋体" w:eastAsia="宋体" w:cs="宋体"/>
                <w:color w:val="000000"/>
                <w:kern w:val="0"/>
                <w:sz w:val="22"/>
              </w:rPr>
              <w:t>10</w:t>
            </w:r>
          </w:p>
        </w:tc>
        <w:tc>
          <w:tcPr>
            <w:tcW w:w="442" w:type="dxa"/>
            <w:tcBorders>
              <w:top w:val="nil"/>
              <w:left w:val="nil"/>
              <w:bottom w:val="single" w:color="auto" w:sz="4" w:space="0"/>
              <w:right w:val="single" w:color="auto" w:sz="4" w:space="0"/>
            </w:tcBorders>
            <w:shd w:val="clear" w:color="auto" w:fill="auto"/>
            <w:vAlign w:val="center"/>
          </w:tcPr>
          <w:p w14:paraId="4DD390F0">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　</w:t>
            </w:r>
          </w:p>
        </w:tc>
      </w:tr>
      <w:tr w14:paraId="305A78AD">
        <w:tblPrEx>
          <w:tblCellMar>
            <w:top w:w="0" w:type="dxa"/>
            <w:left w:w="108" w:type="dxa"/>
            <w:bottom w:w="0" w:type="dxa"/>
            <w:right w:w="108" w:type="dxa"/>
          </w:tblCellMar>
        </w:tblPrEx>
        <w:trPr>
          <w:trHeight w:val="1159" w:hRule="atLeast"/>
        </w:trPr>
        <w:tc>
          <w:tcPr>
            <w:tcW w:w="568" w:type="dxa"/>
            <w:tcBorders>
              <w:top w:val="nil"/>
              <w:left w:val="single" w:color="auto" w:sz="4" w:space="0"/>
              <w:bottom w:val="single" w:color="auto" w:sz="4" w:space="0"/>
              <w:right w:val="single" w:color="auto" w:sz="4" w:space="0"/>
            </w:tcBorders>
            <w:shd w:val="clear" w:color="auto" w:fill="auto"/>
            <w:vAlign w:val="center"/>
          </w:tcPr>
          <w:p w14:paraId="7A94AB95">
            <w:pPr>
              <w:widowControl/>
              <w:jc w:val="left"/>
              <w:rPr>
                <w:rFonts w:ascii="宋体" w:hAnsi="宋体" w:eastAsia="宋体" w:cs="宋体"/>
                <w:color w:val="000000"/>
                <w:kern w:val="0"/>
                <w:sz w:val="22"/>
              </w:rPr>
            </w:pPr>
            <w:r>
              <w:rPr>
                <w:rFonts w:hint="eastAsia" w:ascii="宋体" w:hAnsi="宋体" w:eastAsia="宋体" w:cs="宋体"/>
                <w:color w:val="000000"/>
                <w:kern w:val="0"/>
                <w:sz w:val="22"/>
              </w:rPr>
              <w:t>2.2</w:t>
            </w:r>
          </w:p>
        </w:tc>
        <w:tc>
          <w:tcPr>
            <w:tcW w:w="709" w:type="dxa"/>
            <w:tcBorders>
              <w:top w:val="nil"/>
              <w:left w:val="nil"/>
              <w:bottom w:val="single" w:color="auto" w:sz="4" w:space="0"/>
              <w:right w:val="single" w:color="auto" w:sz="4" w:space="0"/>
            </w:tcBorders>
            <w:shd w:val="clear" w:color="auto" w:fill="auto"/>
            <w:vAlign w:val="center"/>
          </w:tcPr>
          <w:p w14:paraId="1526BE05">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服务承诺方案分</w:t>
            </w:r>
          </w:p>
        </w:tc>
        <w:tc>
          <w:tcPr>
            <w:tcW w:w="7872" w:type="dxa"/>
            <w:tcBorders>
              <w:top w:val="nil"/>
              <w:left w:val="nil"/>
              <w:bottom w:val="single" w:color="auto" w:sz="4" w:space="0"/>
              <w:right w:val="single" w:color="auto" w:sz="4" w:space="0"/>
            </w:tcBorders>
            <w:shd w:val="clear" w:color="auto" w:fill="auto"/>
            <w:vAlign w:val="center"/>
          </w:tcPr>
          <w:p w14:paraId="55DD7D60">
            <w:pPr>
              <w:widowControl/>
              <w:jc w:val="left"/>
              <w:rPr>
                <w:rFonts w:ascii="宋体" w:hAnsi="宋体" w:eastAsia="宋体" w:cs="宋体"/>
                <w:color w:val="000000"/>
                <w:kern w:val="0"/>
                <w:sz w:val="22"/>
              </w:rPr>
            </w:pPr>
            <w:r>
              <w:rPr>
                <w:rFonts w:hint="eastAsia" w:ascii="宋体" w:hAnsi="宋体" w:eastAsia="宋体" w:cs="宋体"/>
                <w:color w:val="000000"/>
                <w:kern w:val="0"/>
                <w:sz w:val="22"/>
              </w:rPr>
              <w:t>一档（0-3分）服务承诺方案较好，能满足招标人要求和项目需求；</w:t>
            </w:r>
            <w:r>
              <w:rPr>
                <w:rFonts w:hint="eastAsia" w:ascii="宋体" w:hAnsi="宋体" w:eastAsia="宋体" w:cs="宋体"/>
                <w:color w:val="000000"/>
                <w:kern w:val="0"/>
                <w:sz w:val="22"/>
              </w:rPr>
              <w:br w:type="textWrapping"/>
            </w:r>
            <w:r>
              <w:rPr>
                <w:rFonts w:hint="eastAsia" w:ascii="宋体" w:hAnsi="宋体" w:eastAsia="宋体" w:cs="宋体"/>
                <w:color w:val="000000"/>
                <w:kern w:val="0"/>
                <w:sz w:val="22"/>
              </w:rPr>
              <w:t>二档（3.1-5分）服务承诺方案优秀，完全满足招标人要求和项目需求的；</w:t>
            </w:r>
          </w:p>
        </w:tc>
        <w:tc>
          <w:tcPr>
            <w:tcW w:w="576" w:type="dxa"/>
            <w:tcBorders>
              <w:top w:val="nil"/>
              <w:left w:val="nil"/>
              <w:bottom w:val="single" w:color="auto" w:sz="4" w:space="0"/>
              <w:right w:val="single" w:color="auto" w:sz="4" w:space="0"/>
            </w:tcBorders>
            <w:shd w:val="clear" w:color="auto" w:fill="auto"/>
            <w:vAlign w:val="center"/>
          </w:tcPr>
          <w:p w14:paraId="52EA481A">
            <w:pPr>
              <w:widowControl/>
              <w:jc w:val="left"/>
              <w:rPr>
                <w:rFonts w:ascii="宋体" w:hAnsi="宋体" w:eastAsia="宋体" w:cs="宋体"/>
                <w:color w:val="000000"/>
                <w:kern w:val="0"/>
                <w:sz w:val="22"/>
              </w:rPr>
            </w:pPr>
            <w:r>
              <w:rPr>
                <w:rFonts w:hint="eastAsia" w:ascii="宋体" w:hAnsi="宋体" w:eastAsia="宋体" w:cs="宋体"/>
                <w:color w:val="000000"/>
                <w:kern w:val="0"/>
                <w:sz w:val="22"/>
              </w:rPr>
              <w:t>5</w:t>
            </w:r>
          </w:p>
        </w:tc>
        <w:tc>
          <w:tcPr>
            <w:tcW w:w="442" w:type="dxa"/>
            <w:tcBorders>
              <w:top w:val="nil"/>
              <w:left w:val="nil"/>
              <w:bottom w:val="single" w:color="auto" w:sz="4" w:space="0"/>
              <w:right w:val="single" w:color="auto" w:sz="4" w:space="0"/>
            </w:tcBorders>
            <w:shd w:val="clear" w:color="auto" w:fill="auto"/>
            <w:vAlign w:val="center"/>
          </w:tcPr>
          <w:p w14:paraId="330CB5D4">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　</w:t>
            </w:r>
          </w:p>
        </w:tc>
      </w:tr>
      <w:tr w14:paraId="342DB506">
        <w:tblPrEx>
          <w:tblCellMar>
            <w:top w:w="0" w:type="dxa"/>
            <w:left w:w="108" w:type="dxa"/>
            <w:bottom w:w="0" w:type="dxa"/>
            <w:right w:w="108" w:type="dxa"/>
          </w:tblCellMar>
        </w:tblPrEx>
        <w:trPr>
          <w:trHeight w:val="1178" w:hRule="atLeast"/>
        </w:trPr>
        <w:tc>
          <w:tcPr>
            <w:tcW w:w="568" w:type="dxa"/>
            <w:tcBorders>
              <w:top w:val="nil"/>
              <w:left w:val="single" w:color="auto" w:sz="4" w:space="0"/>
              <w:bottom w:val="single" w:color="auto" w:sz="4" w:space="0"/>
              <w:right w:val="single" w:color="auto" w:sz="4" w:space="0"/>
            </w:tcBorders>
            <w:shd w:val="clear" w:color="auto" w:fill="auto"/>
            <w:vAlign w:val="center"/>
          </w:tcPr>
          <w:p w14:paraId="4A7FFE6C">
            <w:pPr>
              <w:widowControl/>
              <w:jc w:val="left"/>
              <w:rPr>
                <w:rFonts w:ascii="宋体" w:hAnsi="宋体" w:eastAsia="宋体" w:cs="宋体"/>
                <w:color w:val="000000"/>
                <w:kern w:val="0"/>
                <w:sz w:val="22"/>
              </w:rPr>
            </w:pPr>
            <w:r>
              <w:rPr>
                <w:rFonts w:hint="eastAsia" w:ascii="宋体" w:hAnsi="宋体" w:eastAsia="宋体" w:cs="宋体"/>
                <w:color w:val="000000"/>
                <w:kern w:val="0"/>
                <w:sz w:val="22"/>
              </w:rPr>
              <w:t>2.3</w:t>
            </w:r>
          </w:p>
        </w:tc>
        <w:tc>
          <w:tcPr>
            <w:tcW w:w="709" w:type="dxa"/>
            <w:tcBorders>
              <w:top w:val="nil"/>
              <w:left w:val="nil"/>
              <w:bottom w:val="single" w:color="auto" w:sz="4" w:space="0"/>
              <w:right w:val="single" w:color="auto" w:sz="4" w:space="0"/>
            </w:tcBorders>
            <w:shd w:val="clear" w:color="auto" w:fill="auto"/>
            <w:vAlign w:val="center"/>
          </w:tcPr>
          <w:p w14:paraId="0CCA7E25">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自有车辆</w:t>
            </w:r>
          </w:p>
        </w:tc>
        <w:tc>
          <w:tcPr>
            <w:tcW w:w="7872" w:type="dxa"/>
            <w:tcBorders>
              <w:top w:val="nil"/>
              <w:left w:val="nil"/>
              <w:bottom w:val="single" w:color="auto" w:sz="4" w:space="0"/>
              <w:right w:val="single" w:color="auto" w:sz="4" w:space="0"/>
            </w:tcBorders>
            <w:shd w:val="clear" w:color="auto" w:fill="auto"/>
            <w:vAlign w:val="center"/>
          </w:tcPr>
          <w:p w14:paraId="734397D0">
            <w:pPr>
              <w:widowControl/>
              <w:jc w:val="left"/>
              <w:rPr>
                <w:rFonts w:ascii="宋体" w:hAnsi="宋体" w:eastAsia="宋体" w:cs="宋体"/>
                <w:color w:val="000000"/>
                <w:kern w:val="0"/>
                <w:sz w:val="22"/>
              </w:rPr>
            </w:pPr>
            <w:r>
              <w:rPr>
                <w:rFonts w:hint="eastAsia" w:ascii="宋体" w:hAnsi="宋体" w:eastAsia="宋体" w:cs="宋体"/>
                <w:color w:val="000000"/>
                <w:kern w:val="0"/>
                <w:sz w:val="22"/>
              </w:rPr>
              <w:t>拥有5部以上自有车辆得3.51-5分；</w:t>
            </w:r>
            <w:r>
              <w:rPr>
                <w:rFonts w:hint="eastAsia" w:ascii="宋体" w:hAnsi="宋体" w:eastAsia="宋体" w:cs="宋体"/>
                <w:color w:val="000000"/>
                <w:kern w:val="0"/>
                <w:sz w:val="22"/>
              </w:rPr>
              <w:br w:type="textWrapping"/>
            </w:r>
            <w:r>
              <w:rPr>
                <w:rFonts w:hint="eastAsia" w:ascii="宋体" w:hAnsi="宋体" w:eastAsia="宋体" w:cs="宋体"/>
                <w:color w:val="000000"/>
                <w:kern w:val="0"/>
                <w:sz w:val="22"/>
              </w:rPr>
              <w:t>拥有3-4部自有车辆得2.01-3.5分；</w:t>
            </w:r>
            <w:r>
              <w:rPr>
                <w:rFonts w:hint="eastAsia" w:ascii="宋体" w:hAnsi="宋体" w:eastAsia="宋体" w:cs="宋体"/>
                <w:color w:val="000000"/>
                <w:kern w:val="0"/>
                <w:sz w:val="22"/>
              </w:rPr>
              <w:br w:type="textWrapping"/>
            </w:r>
            <w:r>
              <w:rPr>
                <w:rFonts w:hint="eastAsia" w:ascii="宋体" w:hAnsi="宋体" w:eastAsia="宋体" w:cs="宋体"/>
                <w:color w:val="000000"/>
                <w:kern w:val="0"/>
                <w:sz w:val="22"/>
              </w:rPr>
              <w:t>拥有1-2部自有车辆得1-2分；</w:t>
            </w:r>
            <w:r>
              <w:rPr>
                <w:rFonts w:hint="eastAsia" w:ascii="宋体" w:hAnsi="宋体" w:eastAsia="宋体" w:cs="宋体"/>
                <w:color w:val="000000"/>
                <w:kern w:val="0"/>
                <w:sz w:val="22"/>
              </w:rPr>
              <w:br w:type="textWrapping"/>
            </w:r>
            <w:r>
              <w:rPr>
                <w:rFonts w:hint="eastAsia" w:ascii="宋体" w:hAnsi="宋体" w:eastAsia="宋体" w:cs="宋体"/>
                <w:color w:val="000000"/>
                <w:kern w:val="0"/>
                <w:sz w:val="22"/>
              </w:rPr>
              <w:t>无自有车辆得0分。</w:t>
            </w:r>
          </w:p>
        </w:tc>
        <w:tc>
          <w:tcPr>
            <w:tcW w:w="576" w:type="dxa"/>
            <w:tcBorders>
              <w:top w:val="nil"/>
              <w:left w:val="nil"/>
              <w:bottom w:val="single" w:color="auto" w:sz="4" w:space="0"/>
              <w:right w:val="single" w:color="auto" w:sz="4" w:space="0"/>
            </w:tcBorders>
            <w:shd w:val="clear" w:color="auto" w:fill="auto"/>
            <w:vAlign w:val="center"/>
          </w:tcPr>
          <w:p w14:paraId="79E8348D">
            <w:pPr>
              <w:widowControl/>
              <w:jc w:val="left"/>
              <w:rPr>
                <w:rFonts w:ascii="宋体" w:hAnsi="宋体" w:eastAsia="宋体" w:cs="宋体"/>
                <w:color w:val="000000"/>
                <w:kern w:val="0"/>
                <w:sz w:val="22"/>
              </w:rPr>
            </w:pPr>
            <w:r>
              <w:rPr>
                <w:rFonts w:hint="eastAsia" w:ascii="宋体" w:hAnsi="宋体" w:eastAsia="宋体" w:cs="宋体"/>
                <w:color w:val="000000"/>
                <w:kern w:val="0"/>
                <w:sz w:val="22"/>
              </w:rPr>
              <w:t>5</w:t>
            </w:r>
          </w:p>
        </w:tc>
        <w:tc>
          <w:tcPr>
            <w:tcW w:w="442" w:type="dxa"/>
            <w:tcBorders>
              <w:top w:val="nil"/>
              <w:left w:val="nil"/>
              <w:bottom w:val="single" w:color="auto" w:sz="4" w:space="0"/>
              <w:right w:val="single" w:color="auto" w:sz="4" w:space="0"/>
            </w:tcBorders>
            <w:shd w:val="clear" w:color="auto" w:fill="auto"/>
            <w:vAlign w:val="center"/>
          </w:tcPr>
          <w:p w14:paraId="2A88BDFB">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　</w:t>
            </w:r>
          </w:p>
        </w:tc>
      </w:tr>
      <w:tr w14:paraId="3D89D9DE">
        <w:tblPrEx>
          <w:tblCellMar>
            <w:top w:w="0" w:type="dxa"/>
            <w:left w:w="108" w:type="dxa"/>
            <w:bottom w:w="0" w:type="dxa"/>
            <w:right w:w="108" w:type="dxa"/>
          </w:tblCellMar>
        </w:tblPrEx>
        <w:trPr>
          <w:trHeight w:val="246" w:hRule="atLeast"/>
        </w:trPr>
        <w:tc>
          <w:tcPr>
            <w:tcW w:w="568" w:type="dxa"/>
            <w:tcBorders>
              <w:top w:val="nil"/>
              <w:left w:val="single" w:color="auto" w:sz="4" w:space="0"/>
              <w:bottom w:val="single" w:color="auto" w:sz="4" w:space="0"/>
              <w:right w:val="single" w:color="auto" w:sz="4" w:space="0"/>
            </w:tcBorders>
            <w:shd w:val="clear" w:color="auto" w:fill="auto"/>
            <w:vAlign w:val="center"/>
          </w:tcPr>
          <w:p w14:paraId="186EE919">
            <w:pPr>
              <w:widowControl/>
              <w:jc w:val="left"/>
              <w:rPr>
                <w:rFonts w:ascii="宋体" w:hAnsi="宋体" w:eastAsia="宋体" w:cs="宋体"/>
                <w:color w:val="000000"/>
                <w:kern w:val="0"/>
                <w:sz w:val="22"/>
              </w:rPr>
            </w:pPr>
            <w:r>
              <w:rPr>
                <w:rFonts w:hint="eastAsia" w:ascii="宋体" w:hAnsi="宋体" w:eastAsia="宋体" w:cs="宋体"/>
                <w:color w:val="000000"/>
                <w:kern w:val="0"/>
                <w:sz w:val="22"/>
              </w:rPr>
              <w:t>3</w:t>
            </w:r>
          </w:p>
        </w:tc>
        <w:tc>
          <w:tcPr>
            <w:tcW w:w="9599" w:type="dxa"/>
            <w:gridSpan w:val="4"/>
            <w:tcBorders>
              <w:top w:val="single" w:color="auto" w:sz="4" w:space="0"/>
              <w:left w:val="nil"/>
              <w:bottom w:val="single" w:color="auto" w:sz="4" w:space="0"/>
              <w:right w:val="single" w:color="000000" w:sz="4" w:space="0"/>
            </w:tcBorders>
            <w:shd w:val="clear" w:color="auto" w:fill="auto"/>
            <w:vAlign w:val="center"/>
          </w:tcPr>
          <w:p w14:paraId="055CAA68">
            <w:pPr>
              <w:widowControl/>
              <w:jc w:val="left"/>
              <w:rPr>
                <w:rFonts w:ascii="宋体" w:hAnsi="宋体" w:eastAsia="宋体" w:cs="宋体"/>
                <w:color w:val="000000"/>
                <w:kern w:val="0"/>
                <w:sz w:val="22"/>
              </w:rPr>
            </w:pPr>
            <w:r>
              <w:rPr>
                <w:rFonts w:hint="eastAsia" w:ascii="宋体" w:hAnsi="宋体" w:eastAsia="宋体" w:cs="宋体"/>
                <w:color w:val="000000"/>
                <w:kern w:val="0"/>
                <w:sz w:val="22"/>
              </w:rPr>
              <w:t>实力信誉分（10分）</w:t>
            </w:r>
          </w:p>
        </w:tc>
      </w:tr>
      <w:tr w14:paraId="44C2C754">
        <w:tblPrEx>
          <w:tblCellMar>
            <w:top w:w="0" w:type="dxa"/>
            <w:left w:w="108" w:type="dxa"/>
            <w:bottom w:w="0" w:type="dxa"/>
            <w:right w:w="108" w:type="dxa"/>
          </w:tblCellMar>
        </w:tblPrEx>
        <w:trPr>
          <w:trHeight w:val="985" w:hRule="atLeast"/>
        </w:trPr>
        <w:tc>
          <w:tcPr>
            <w:tcW w:w="568" w:type="dxa"/>
            <w:tcBorders>
              <w:top w:val="nil"/>
              <w:left w:val="single" w:color="auto" w:sz="4" w:space="0"/>
              <w:bottom w:val="single" w:color="auto" w:sz="4" w:space="0"/>
              <w:right w:val="single" w:color="auto" w:sz="4" w:space="0"/>
            </w:tcBorders>
            <w:shd w:val="clear" w:color="auto" w:fill="auto"/>
            <w:vAlign w:val="center"/>
          </w:tcPr>
          <w:p w14:paraId="2FA90862">
            <w:pPr>
              <w:widowControl/>
              <w:jc w:val="left"/>
              <w:rPr>
                <w:rFonts w:ascii="宋体" w:hAnsi="宋体" w:eastAsia="宋体" w:cs="宋体"/>
                <w:color w:val="000000"/>
                <w:kern w:val="0"/>
                <w:sz w:val="22"/>
              </w:rPr>
            </w:pPr>
            <w:r>
              <w:rPr>
                <w:rFonts w:hint="eastAsia" w:ascii="宋体" w:hAnsi="宋体" w:eastAsia="宋体" w:cs="宋体"/>
                <w:color w:val="000000"/>
                <w:kern w:val="0"/>
                <w:sz w:val="22"/>
              </w:rPr>
              <w:t>3.1</w:t>
            </w:r>
          </w:p>
        </w:tc>
        <w:tc>
          <w:tcPr>
            <w:tcW w:w="709" w:type="dxa"/>
            <w:tcBorders>
              <w:top w:val="nil"/>
              <w:left w:val="nil"/>
              <w:bottom w:val="single" w:color="auto" w:sz="4" w:space="0"/>
              <w:right w:val="single" w:color="auto" w:sz="4" w:space="0"/>
            </w:tcBorders>
            <w:shd w:val="clear" w:color="auto" w:fill="auto"/>
            <w:vAlign w:val="center"/>
          </w:tcPr>
          <w:p w14:paraId="5B6DECB2">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业绩</w:t>
            </w:r>
          </w:p>
        </w:tc>
        <w:tc>
          <w:tcPr>
            <w:tcW w:w="7872" w:type="dxa"/>
            <w:tcBorders>
              <w:top w:val="nil"/>
              <w:left w:val="nil"/>
              <w:bottom w:val="single" w:color="auto" w:sz="4" w:space="0"/>
              <w:right w:val="single" w:color="auto" w:sz="4" w:space="0"/>
            </w:tcBorders>
            <w:shd w:val="clear" w:color="auto" w:fill="auto"/>
            <w:vAlign w:val="center"/>
          </w:tcPr>
          <w:p w14:paraId="6FA93416">
            <w:pPr>
              <w:widowControl/>
              <w:jc w:val="left"/>
              <w:rPr>
                <w:rFonts w:ascii="宋体" w:hAnsi="宋体" w:eastAsia="宋体" w:cs="宋体"/>
                <w:color w:val="000000"/>
                <w:kern w:val="0"/>
                <w:sz w:val="22"/>
              </w:rPr>
            </w:pPr>
            <w:r>
              <w:rPr>
                <w:rFonts w:hint="eastAsia" w:ascii="宋体" w:hAnsi="宋体" w:eastAsia="宋体" w:cs="宋体"/>
                <w:color w:val="000000"/>
                <w:kern w:val="0"/>
                <w:sz w:val="22"/>
              </w:rPr>
              <w:t>在满足资格要求的基础上，近三年（自 20</w:t>
            </w:r>
            <w:r>
              <w:rPr>
                <w:rFonts w:hint="eastAsia" w:ascii="宋体" w:hAnsi="宋体" w:eastAsia="宋体" w:cs="宋体"/>
                <w:color w:val="000000"/>
                <w:kern w:val="0"/>
                <w:sz w:val="22"/>
                <w:lang w:val="en-US" w:eastAsia="zh-CN"/>
              </w:rPr>
              <w:t>21</w:t>
            </w:r>
            <w:r>
              <w:rPr>
                <w:rFonts w:hint="eastAsia" w:ascii="宋体" w:hAnsi="宋体" w:eastAsia="宋体" w:cs="宋体"/>
                <w:color w:val="000000"/>
                <w:kern w:val="0"/>
                <w:sz w:val="22"/>
              </w:rPr>
              <w:t>年1月1日至投标截止日，以合同签订时间为准）每增加1个类似项目合同业绩加1分，满分3分（需提供合同首页、范围页和签字盖章页及运输范围）</w:t>
            </w:r>
          </w:p>
        </w:tc>
        <w:tc>
          <w:tcPr>
            <w:tcW w:w="576" w:type="dxa"/>
            <w:tcBorders>
              <w:top w:val="nil"/>
              <w:left w:val="nil"/>
              <w:bottom w:val="single" w:color="auto" w:sz="4" w:space="0"/>
              <w:right w:val="single" w:color="auto" w:sz="4" w:space="0"/>
            </w:tcBorders>
            <w:shd w:val="clear" w:color="auto" w:fill="auto"/>
            <w:vAlign w:val="center"/>
          </w:tcPr>
          <w:p w14:paraId="4D1E0FCC">
            <w:pPr>
              <w:widowControl/>
              <w:jc w:val="left"/>
              <w:rPr>
                <w:rFonts w:ascii="宋体" w:hAnsi="宋体" w:eastAsia="宋体" w:cs="宋体"/>
                <w:color w:val="000000"/>
                <w:kern w:val="0"/>
                <w:sz w:val="22"/>
              </w:rPr>
            </w:pPr>
            <w:r>
              <w:rPr>
                <w:rFonts w:hint="eastAsia" w:ascii="宋体" w:hAnsi="宋体" w:eastAsia="宋体" w:cs="宋体"/>
                <w:color w:val="000000"/>
                <w:kern w:val="0"/>
                <w:sz w:val="22"/>
              </w:rPr>
              <w:t>3</w:t>
            </w:r>
          </w:p>
        </w:tc>
        <w:tc>
          <w:tcPr>
            <w:tcW w:w="442" w:type="dxa"/>
            <w:tcBorders>
              <w:top w:val="nil"/>
              <w:left w:val="nil"/>
              <w:bottom w:val="single" w:color="auto" w:sz="4" w:space="0"/>
              <w:right w:val="single" w:color="auto" w:sz="4" w:space="0"/>
            </w:tcBorders>
            <w:shd w:val="clear" w:color="auto" w:fill="auto"/>
            <w:vAlign w:val="center"/>
          </w:tcPr>
          <w:p w14:paraId="756354F3">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　</w:t>
            </w:r>
          </w:p>
        </w:tc>
      </w:tr>
      <w:tr w14:paraId="008A3B0D">
        <w:tblPrEx>
          <w:tblCellMar>
            <w:top w:w="0" w:type="dxa"/>
            <w:left w:w="108" w:type="dxa"/>
            <w:bottom w:w="0" w:type="dxa"/>
            <w:right w:w="108" w:type="dxa"/>
          </w:tblCellMar>
        </w:tblPrEx>
        <w:trPr>
          <w:trHeight w:val="492" w:hRule="atLeast"/>
        </w:trPr>
        <w:tc>
          <w:tcPr>
            <w:tcW w:w="568" w:type="dxa"/>
            <w:tcBorders>
              <w:top w:val="nil"/>
              <w:left w:val="single" w:color="auto" w:sz="4" w:space="0"/>
              <w:bottom w:val="single" w:color="auto" w:sz="4" w:space="0"/>
              <w:right w:val="single" w:color="auto" w:sz="4" w:space="0"/>
            </w:tcBorders>
            <w:shd w:val="clear" w:color="auto" w:fill="auto"/>
            <w:vAlign w:val="center"/>
          </w:tcPr>
          <w:p w14:paraId="281AC516">
            <w:pPr>
              <w:widowControl/>
              <w:jc w:val="left"/>
              <w:rPr>
                <w:rFonts w:ascii="宋体" w:hAnsi="宋体" w:eastAsia="宋体" w:cs="宋体"/>
                <w:color w:val="000000"/>
                <w:kern w:val="0"/>
                <w:sz w:val="22"/>
              </w:rPr>
            </w:pPr>
            <w:r>
              <w:rPr>
                <w:rFonts w:hint="eastAsia" w:ascii="宋体" w:hAnsi="宋体" w:eastAsia="宋体" w:cs="宋体"/>
                <w:color w:val="000000"/>
                <w:kern w:val="0"/>
                <w:sz w:val="22"/>
              </w:rPr>
              <w:t>3.2</w:t>
            </w:r>
          </w:p>
        </w:tc>
        <w:tc>
          <w:tcPr>
            <w:tcW w:w="709" w:type="dxa"/>
            <w:tcBorders>
              <w:top w:val="nil"/>
              <w:left w:val="nil"/>
              <w:bottom w:val="single" w:color="auto" w:sz="4" w:space="0"/>
              <w:right w:val="single" w:color="auto" w:sz="4" w:space="0"/>
            </w:tcBorders>
            <w:shd w:val="clear" w:color="auto" w:fill="auto"/>
            <w:vAlign w:val="center"/>
          </w:tcPr>
          <w:p w14:paraId="39BAA80B">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本地化</w:t>
            </w:r>
          </w:p>
        </w:tc>
        <w:tc>
          <w:tcPr>
            <w:tcW w:w="7872" w:type="dxa"/>
            <w:tcBorders>
              <w:top w:val="nil"/>
              <w:left w:val="nil"/>
              <w:bottom w:val="single" w:color="auto" w:sz="4" w:space="0"/>
              <w:right w:val="single" w:color="auto" w:sz="4" w:space="0"/>
            </w:tcBorders>
            <w:shd w:val="clear" w:color="auto" w:fill="auto"/>
            <w:vAlign w:val="center"/>
          </w:tcPr>
          <w:p w14:paraId="691251F0">
            <w:pPr>
              <w:widowControl/>
              <w:jc w:val="left"/>
              <w:rPr>
                <w:rFonts w:ascii="宋体" w:hAnsi="宋体" w:eastAsia="宋体" w:cs="宋体"/>
                <w:color w:val="000000"/>
                <w:kern w:val="0"/>
                <w:sz w:val="22"/>
              </w:rPr>
            </w:pPr>
            <w:r>
              <w:rPr>
                <w:rFonts w:hint="eastAsia" w:ascii="宋体" w:hAnsi="宋体" w:eastAsia="宋体" w:cs="宋体"/>
                <w:color w:val="000000"/>
                <w:kern w:val="0"/>
                <w:sz w:val="22"/>
              </w:rPr>
              <w:t>在南宁有本地化服务机构（需提供相关证明材料）得2分，无则得0分。</w:t>
            </w:r>
          </w:p>
        </w:tc>
        <w:tc>
          <w:tcPr>
            <w:tcW w:w="576" w:type="dxa"/>
            <w:tcBorders>
              <w:top w:val="nil"/>
              <w:left w:val="nil"/>
              <w:bottom w:val="single" w:color="auto" w:sz="4" w:space="0"/>
              <w:right w:val="single" w:color="auto" w:sz="4" w:space="0"/>
            </w:tcBorders>
            <w:shd w:val="clear" w:color="auto" w:fill="auto"/>
            <w:vAlign w:val="center"/>
          </w:tcPr>
          <w:p w14:paraId="712B0F62">
            <w:pPr>
              <w:widowControl/>
              <w:jc w:val="left"/>
              <w:rPr>
                <w:rFonts w:ascii="宋体" w:hAnsi="宋体" w:eastAsia="宋体" w:cs="宋体"/>
                <w:color w:val="000000"/>
                <w:kern w:val="0"/>
                <w:sz w:val="22"/>
              </w:rPr>
            </w:pPr>
            <w:r>
              <w:rPr>
                <w:rFonts w:hint="eastAsia" w:ascii="宋体" w:hAnsi="宋体" w:eastAsia="宋体" w:cs="宋体"/>
                <w:color w:val="000000"/>
                <w:kern w:val="0"/>
                <w:sz w:val="22"/>
              </w:rPr>
              <w:t>2</w:t>
            </w:r>
          </w:p>
        </w:tc>
        <w:tc>
          <w:tcPr>
            <w:tcW w:w="442" w:type="dxa"/>
            <w:tcBorders>
              <w:top w:val="nil"/>
              <w:left w:val="nil"/>
              <w:bottom w:val="single" w:color="auto" w:sz="4" w:space="0"/>
              <w:right w:val="single" w:color="auto" w:sz="4" w:space="0"/>
            </w:tcBorders>
            <w:shd w:val="clear" w:color="auto" w:fill="auto"/>
            <w:vAlign w:val="center"/>
          </w:tcPr>
          <w:p w14:paraId="2937FA7B">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　</w:t>
            </w:r>
          </w:p>
        </w:tc>
      </w:tr>
      <w:tr w14:paraId="3DEF485B">
        <w:tblPrEx>
          <w:tblCellMar>
            <w:top w:w="0" w:type="dxa"/>
            <w:left w:w="108" w:type="dxa"/>
            <w:bottom w:w="0" w:type="dxa"/>
            <w:right w:w="108" w:type="dxa"/>
          </w:tblCellMar>
        </w:tblPrEx>
        <w:trPr>
          <w:trHeight w:val="738" w:hRule="atLeast"/>
        </w:trPr>
        <w:tc>
          <w:tcPr>
            <w:tcW w:w="568" w:type="dxa"/>
            <w:tcBorders>
              <w:top w:val="nil"/>
              <w:left w:val="single" w:color="auto" w:sz="4" w:space="0"/>
              <w:bottom w:val="single" w:color="auto" w:sz="4" w:space="0"/>
              <w:right w:val="single" w:color="auto" w:sz="4" w:space="0"/>
            </w:tcBorders>
            <w:shd w:val="clear" w:color="auto" w:fill="auto"/>
            <w:vAlign w:val="center"/>
          </w:tcPr>
          <w:p w14:paraId="26611A61">
            <w:pPr>
              <w:widowControl/>
              <w:jc w:val="left"/>
              <w:rPr>
                <w:rFonts w:ascii="宋体" w:hAnsi="宋体" w:eastAsia="宋体" w:cs="宋体"/>
                <w:color w:val="000000"/>
                <w:kern w:val="0"/>
                <w:sz w:val="22"/>
              </w:rPr>
            </w:pPr>
            <w:r>
              <w:rPr>
                <w:rFonts w:hint="eastAsia" w:ascii="宋体" w:hAnsi="宋体" w:eastAsia="宋体" w:cs="宋体"/>
                <w:color w:val="000000"/>
                <w:kern w:val="0"/>
                <w:sz w:val="22"/>
              </w:rPr>
              <w:t>3.3</w:t>
            </w:r>
          </w:p>
        </w:tc>
        <w:tc>
          <w:tcPr>
            <w:tcW w:w="709" w:type="dxa"/>
            <w:tcBorders>
              <w:top w:val="nil"/>
              <w:left w:val="nil"/>
              <w:bottom w:val="single" w:color="auto" w:sz="4" w:space="0"/>
              <w:right w:val="single" w:color="auto" w:sz="4" w:space="0"/>
            </w:tcBorders>
            <w:shd w:val="clear" w:color="auto" w:fill="auto"/>
            <w:vAlign w:val="center"/>
          </w:tcPr>
          <w:p w14:paraId="4422A492">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企业综合实力</w:t>
            </w:r>
          </w:p>
        </w:tc>
        <w:tc>
          <w:tcPr>
            <w:tcW w:w="7872" w:type="dxa"/>
            <w:tcBorders>
              <w:top w:val="nil"/>
              <w:left w:val="nil"/>
              <w:bottom w:val="single" w:color="auto" w:sz="4" w:space="0"/>
              <w:right w:val="single" w:color="auto" w:sz="4" w:space="0"/>
            </w:tcBorders>
            <w:shd w:val="clear" w:color="auto" w:fill="auto"/>
            <w:vAlign w:val="center"/>
          </w:tcPr>
          <w:p w14:paraId="5549FE16">
            <w:pPr>
              <w:widowControl/>
              <w:jc w:val="left"/>
              <w:rPr>
                <w:rFonts w:ascii="宋体" w:hAnsi="宋体" w:eastAsia="宋体" w:cs="宋体"/>
                <w:color w:val="000000"/>
                <w:kern w:val="0"/>
                <w:sz w:val="22"/>
              </w:rPr>
            </w:pPr>
            <w:r>
              <w:rPr>
                <w:rFonts w:hint="eastAsia" w:ascii="宋体" w:hAnsi="宋体" w:eastAsia="宋体" w:cs="宋体"/>
                <w:color w:val="000000"/>
                <w:kern w:val="0"/>
                <w:sz w:val="22"/>
              </w:rPr>
              <w:t>据投标人的企业规模、经营年限、企业信誉、财务状况、履约能力等综合实力进行评价。强得5分；较强得2-4 分；一般得0-1分。</w:t>
            </w:r>
          </w:p>
        </w:tc>
        <w:tc>
          <w:tcPr>
            <w:tcW w:w="576" w:type="dxa"/>
            <w:tcBorders>
              <w:top w:val="nil"/>
              <w:left w:val="nil"/>
              <w:bottom w:val="single" w:color="auto" w:sz="4" w:space="0"/>
              <w:right w:val="single" w:color="auto" w:sz="4" w:space="0"/>
            </w:tcBorders>
            <w:shd w:val="clear" w:color="auto" w:fill="auto"/>
            <w:vAlign w:val="center"/>
          </w:tcPr>
          <w:p w14:paraId="2916DCA7">
            <w:pPr>
              <w:widowControl/>
              <w:jc w:val="left"/>
              <w:rPr>
                <w:rFonts w:ascii="宋体" w:hAnsi="宋体" w:eastAsia="宋体" w:cs="宋体"/>
                <w:color w:val="000000"/>
                <w:kern w:val="0"/>
                <w:sz w:val="22"/>
              </w:rPr>
            </w:pPr>
            <w:r>
              <w:rPr>
                <w:rFonts w:hint="eastAsia" w:ascii="宋体" w:hAnsi="宋体" w:eastAsia="宋体" w:cs="宋体"/>
                <w:color w:val="000000"/>
                <w:kern w:val="0"/>
                <w:sz w:val="22"/>
              </w:rPr>
              <w:t>5</w:t>
            </w:r>
          </w:p>
        </w:tc>
        <w:tc>
          <w:tcPr>
            <w:tcW w:w="442" w:type="dxa"/>
            <w:tcBorders>
              <w:top w:val="nil"/>
              <w:left w:val="nil"/>
              <w:bottom w:val="single" w:color="auto" w:sz="4" w:space="0"/>
              <w:right w:val="single" w:color="auto" w:sz="4" w:space="0"/>
            </w:tcBorders>
            <w:shd w:val="clear" w:color="auto" w:fill="auto"/>
            <w:vAlign w:val="center"/>
          </w:tcPr>
          <w:p w14:paraId="5F60DE73">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　</w:t>
            </w:r>
          </w:p>
        </w:tc>
      </w:tr>
      <w:tr w14:paraId="36F7343B">
        <w:tblPrEx>
          <w:tblCellMar>
            <w:top w:w="0" w:type="dxa"/>
            <w:left w:w="108" w:type="dxa"/>
            <w:bottom w:w="0" w:type="dxa"/>
            <w:right w:w="108" w:type="dxa"/>
          </w:tblCellMar>
        </w:tblPrEx>
        <w:trPr>
          <w:trHeight w:val="369" w:hRule="atLeast"/>
        </w:trPr>
        <w:tc>
          <w:tcPr>
            <w:tcW w:w="1277"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14:paraId="1B7A2028">
            <w:pPr>
              <w:widowControl/>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合计</w:t>
            </w:r>
          </w:p>
        </w:tc>
        <w:tc>
          <w:tcPr>
            <w:tcW w:w="7872" w:type="dxa"/>
            <w:tcBorders>
              <w:top w:val="nil"/>
              <w:left w:val="nil"/>
              <w:bottom w:val="single" w:color="auto" w:sz="4" w:space="0"/>
              <w:right w:val="single" w:color="auto" w:sz="4" w:space="0"/>
            </w:tcBorders>
            <w:shd w:val="clear" w:color="auto" w:fill="auto"/>
            <w:vAlign w:val="center"/>
          </w:tcPr>
          <w:p w14:paraId="4A2DBEB4">
            <w:pPr>
              <w:widowControl/>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c>
          <w:tcPr>
            <w:tcW w:w="576" w:type="dxa"/>
            <w:tcBorders>
              <w:top w:val="nil"/>
              <w:left w:val="nil"/>
              <w:bottom w:val="single" w:color="auto" w:sz="4" w:space="0"/>
              <w:right w:val="single" w:color="auto" w:sz="4" w:space="0"/>
            </w:tcBorders>
            <w:shd w:val="clear" w:color="auto" w:fill="auto"/>
            <w:vAlign w:val="center"/>
          </w:tcPr>
          <w:p w14:paraId="5510741D">
            <w:pPr>
              <w:widowControl/>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100</w:t>
            </w:r>
          </w:p>
        </w:tc>
        <w:tc>
          <w:tcPr>
            <w:tcW w:w="442" w:type="dxa"/>
            <w:tcBorders>
              <w:top w:val="nil"/>
              <w:left w:val="nil"/>
              <w:bottom w:val="single" w:color="auto" w:sz="4" w:space="0"/>
              <w:right w:val="single" w:color="auto" w:sz="4" w:space="0"/>
            </w:tcBorders>
            <w:shd w:val="clear" w:color="auto" w:fill="auto"/>
            <w:vAlign w:val="center"/>
          </w:tcPr>
          <w:p w14:paraId="608BE082">
            <w:pPr>
              <w:widowControl/>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r>
    </w:tbl>
    <w:p w14:paraId="0466A7F4">
      <w:pPr>
        <w:widowControl/>
        <w:snapToGrid w:val="0"/>
        <w:spacing w:line="200" w:lineRule="atLeast"/>
        <w:jc w:val="left"/>
        <w:rPr>
          <w:rFonts w:ascii="宋体" w:hAnsi="宋体" w:cs="Arial"/>
          <w:b/>
          <w:szCs w:val="21"/>
        </w:rPr>
      </w:pPr>
    </w:p>
    <w:p w14:paraId="3FC7434C">
      <w:pPr>
        <w:snapToGrid w:val="0"/>
        <w:spacing w:line="200" w:lineRule="atLeast"/>
        <w:rPr>
          <w:rFonts w:hAnsi="宋体" w:cs="Arial"/>
          <w:szCs w:val="21"/>
        </w:rPr>
      </w:pPr>
      <w:r>
        <w:rPr>
          <w:rFonts w:hint="eastAsia"/>
          <w:bCs/>
          <w:szCs w:val="21"/>
        </w:rPr>
        <w:t>采购单位：</w:t>
      </w:r>
      <w:r>
        <w:rPr>
          <w:rFonts w:hint="eastAsia" w:hAnsi="宋体" w:cs="Arial"/>
          <w:szCs w:val="21"/>
        </w:rPr>
        <w:t>广西双钱健康产业股份有限公司</w:t>
      </w:r>
    </w:p>
    <w:p w14:paraId="6356EE04">
      <w:pPr>
        <w:pStyle w:val="3"/>
        <w:outlineLvl w:val="0"/>
        <w:rPr>
          <w:rFonts w:ascii="Times New Roman" w:hAnsi="Times New Roman"/>
          <w:bCs/>
          <w:szCs w:val="21"/>
        </w:rPr>
      </w:pPr>
      <w:r>
        <w:rPr>
          <w:rFonts w:hint="eastAsia" w:ascii="Times New Roman" w:hAnsi="Times New Roman"/>
          <w:bCs/>
          <w:szCs w:val="21"/>
        </w:rPr>
        <w:t xml:space="preserve">评审人员： </w:t>
      </w:r>
    </w:p>
    <w:p w14:paraId="16CD6B69">
      <w:pPr>
        <w:pStyle w:val="3"/>
        <w:outlineLvl w:val="0"/>
        <w:rPr>
          <w:rFonts w:ascii="Times New Roman" w:hAnsi="Times New Roman"/>
          <w:bCs/>
          <w:szCs w:val="21"/>
        </w:rPr>
      </w:pPr>
      <w:r>
        <w:rPr>
          <w:rFonts w:hint="eastAsia" w:ascii="Times New Roman" w:hAnsi="Times New Roman"/>
          <w:bCs/>
          <w:szCs w:val="21"/>
        </w:rPr>
        <w:t>评审时间：</w:t>
      </w:r>
    </w:p>
    <w:bookmarkEnd w:id="0"/>
    <w:bookmarkEnd w:id="1"/>
    <w:bookmarkEnd w:id="2"/>
    <w:bookmarkEnd w:id="3"/>
    <w:bookmarkEnd w:id="4"/>
    <w:p w14:paraId="6B091F0C">
      <w:pPr>
        <w:widowControl/>
        <w:snapToGrid w:val="0"/>
        <w:spacing w:line="360" w:lineRule="auto"/>
        <w:jc w:val="left"/>
        <w:rPr>
          <w:rFonts w:ascii="宋体" w:hAnsi="宋体" w:cs="Arial"/>
          <w:szCs w:val="21"/>
        </w:rPr>
      </w:pPr>
    </w:p>
    <w:p w14:paraId="145158EF">
      <w:pPr>
        <w:widowControl/>
        <w:snapToGrid w:val="0"/>
        <w:spacing w:line="360" w:lineRule="auto"/>
        <w:jc w:val="left"/>
        <w:rPr>
          <w:rFonts w:ascii="宋体" w:hAnsi="宋体" w:cs="Arial"/>
          <w:szCs w:val="21"/>
        </w:rPr>
      </w:pPr>
      <w:bookmarkStart w:id="19" w:name="_GoBack"/>
      <w:bookmarkEnd w:id="19"/>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10" w:usb3="00000000" w:csb0="0004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A843F9"/>
    <w:multiLevelType w:val="multilevel"/>
    <w:tmpl w:val="4BA843F9"/>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Y0ZmFiMmU5YTZiYzkzZmE5ZTg1M2Y3YzJjYjRmMjAifQ=="/>
  </w:docVars>
  <w:rsids>
    <w:rsidRoot w:val="009B5D33"/>
    <w:rsid w:val="00003390"/>
    <w:rsid w:val="00015102"/>
    <w:rsid w:val="0005577F"/>
    <w:rsid w:val="000566E9"/>
    <w:rsid w:val="00060504"/>
    <w:rsid w:val="000629F6"/>
    <w:rsid w:val="00077236"/>
    <w:rsid w:val="00081687"/>
    <w:rsid w:val="000B1E9C"/>
    <w:rsid w:val="000B62D7"/>
    <w:rsid w:val="000C2779"/>
    <w:rsid w:val="000C599B"/>
    <w:rsid w:val="000C6478"/>
    <w:rsid w:val="000D160F"/>
    <w:rsid w:val="000D51BA"/>
    <w:rsid w:val="000E62B7"/>
    <w:rsid w:val="000F1A02"/>
    <w:rsid w:val="000F5A92"/>
    <w:rsid w:val="00100106"/>
    <w:rsid w:val="00121DEF"/>
    <w:rsid w:val="00141A69"/>
    <w:rsid w:val="00152C66"/>
    <w:rsid w:val="00156DC4"/>
    <w:rsid w:val="00180CFB"/>
    <w:rsid w:val="00183FBA"/>
    <w:rsid w:val="00195093"/>
    <w:rsid w:val="001A3356"/>
    <w:rsid w:val="001A49FB"/>
    <w:rsid w:val="001A696D"/>
    <w:rsid w:val="001C25D6"/>
    <w:rsid w:val="001D7240"/>
    <w:rsid w:val="001F0203"/>
    <w:rsid w:val="001F0278"/>
    <w:rsid w:val="001F700C"/>
    <w:rsid w:val="00214278"/>
    <w:rsid w:val="002526A7"/>
    <w:rsid w:val="00255392"/>
    <w:rsid w:val="0027695E"/>
    <w:rsid w:val="002C34FC"/>
    <w:rsid w:val="002C4823"/>
    <w:rsid w:val="002C5E88"/>
    <w:rsid w:val="002D0787"/>
    <w:rsid w:val="002E1DCD"/>
    <w:rsid w:val="002E3909"/>
    <w:rsid w:val="002F58FC"/>
    <w:rsid w:val="003039B8"/>
    <w:rsid w:val="0032285E"/>
    <w:rsid w:val="003260A8"/>
    <w:rsid w:val="00331E22"/>
    <w:rsid w:val="0033347D"/>
    <w:rsid w:val="00334265"/>
    <w:rsid w:val="00341DBC"/>
    <w:rsid w:val="00344755"/>
    <w:rsid w:val="0035283C"/>
    <w:rsid w:val="003605D7"/>
    <w:rsid w:val="00364128"/>
    <w:rsid w:val="00376BD7"/>
    <w:rsid w:val="0038009F"/>
    <w:rsid w:val="003A6AD3"/>
    <w:rsid w:val="003B241A"/>
    <w:rsid w:val="003B5F7C"/>
    <w:rsid w:val="003C4397"/>
    <w:rsid w:val="003F44DF"/>
    <w:rsid w:val="00413D78"/>
    <w:rsid w:val="00420F8A"/>
    <w:rsid w:val="00431F96"/>
    <w:rsid w:val="0044394E"/>
    <w:rsid w:val="004577B4"/>
    <w:rsid w:val="0049673D"/>
    <w:rsid w:val="004A1B73"/>
    <w:rsid w:val="004B110F"/>
    <w:rsid w:val="004D19AC"/>
    <w:rsid w:val="004F5592"/>
    <w:rsid w:val="00501350"/>
    <w:rsid w:val="005174DA"/>
    <w:rsid w:val="005239DE"/>
    <w:rsid w:val="00531BFB"/>
    <w:rsid w:val="005510C6"/>
    <w:rsid w:val="005613DF"/>
    <w:rsid w:val="00567C46"/>
    <w:rsid w:val="00570898"/>
    <w:rsid w:val="00593929"/>
    <w:rsid w:val="00597F56"/>
    <w:rsid w:val="005B3B47"/>
    <w:rsid w:val="005F4714"/>
    <w:rsid w:val="00602471"/>
    <w:rsid w:val="006334BE"/>
    <w:rsid w:val="0064278F"/>
    <w:rsid w:val="00655F56"/>
    <w:rsid w:val="006634ED"/>
    <w:rsid w:val="00673C15"/>
    <w:rsid w:val="00680F26"/>
    <w:rsid w:val="00684E01"/>
    <w:rsid w:val="006B3036"/>
    <w:rsid w:val="006C4743"/>
    <w:rsid w:val="006E5DD4"/>
    <w:rsid w:val="006F134B"/>
    <w:rsid w:val="00735BD9"/>
    <w:rsid w:val="00745878"/>
    <w:rsid w:val="007478E2"/>
    <w:rsid w:val="00755EE4"/>
    <w:rsid w:val="0075668B"/>
    <w:rsid w:val="00781D13"/>
    <w:rsid w:val="00782D86"/>
    <w:rsid w:val="007A6040"/>
    <w:rsid w:val="007C026C"/>
    <w:rsid w:val="007C415B"/>
    <w:rsid w:val="007E1850"/>
    <w:rsid w:val="00821244"/>
    <w:rsid w:val="0082169D"/>
    <w:rsid w:val="0082695A"/>
    <w:rsid w:val="00852FF9"/>
    <w:rsid w:val="00864BB8"/>
    <w:rsid w:val="0088190B"/>
    <w:rsid w:val="008A1F17"/>
    <w:rsid w:val="008A2085"/>
    <w:rsid w:val="008A3460"/>
    <w:rsid w:val="008B6070"/>
    <w:rsid w:val="008C0A75"/>
    <w:rsid w:val="008D0799"/>
    <w:rsid w:val="008E497F"/>
    <w:rsid w:val="008E6439"/>
    <w:rsid w:val="00902E64"/>
    <w:rsid w:val="00903525"/>
    <w:rsid w:val="009347FF"/>
    <w:rsid w:val="0094321A"/>
    <w:rsid w:val="0095302C"/>
    <w:rsid w:val="00955587"/>
    <w:rsid w:val="009779DB"/>
    <w:rsid w:val="009905AB"/>
    <w:rsid w:val="009A0EA0"/>
    <w:rsid w:val="009A415A"/>
    <w:rsid w:val="009A45A7"/>
    <w:rsid w:val="009B5D33"/>
    <w:rsid w:val="009D1FB1"/>
    <w:rsid w:val="009D6D79"/>
    <w:rsid w:val="009F17B8"/>
    <w:rsid w:val="009F3E6E"/>
    <w:rsid w:val="00A074C8"/>
    <w:rsid w:val="00A3011C"/>
    <w:rsid w:val="00A510B8"/>
    <w:rsid w:val="00A8756A"/>
    <w:rsid w:val="00A93D4C"/>
    <w:rsid w:val="00A93EF1"/>
    <w:rsid w:val="00AA24F0"/>
    <w:rsid w:val="00AB69C9"/>
    <w:rsid w:val="00AD20BC"/>
    <w:rsid w:val="00AD4E73"/>
    <w:rsid w:val="00AE0843"/>
    <w:rsid w:val="00AE192D"/>
    <w:rsid w:val="00AF7E06"/>
    <w:rsid w:val="00B14905"/>
    <w:rsid w:val="00B36796"/>
    <w:rsid w:val="00B46ACD"/>
    <w:rsid w:val="00B5573B"/>
    <w:rsid w:val="00B8183D"/>
    <w:rsid w:val="00B872B2"/>
    <w:rsid w:val="00B935AC"/>
    <w:rsid w:val="00B94805"/>
    <w:rsid w:val="00BB3D39"/>
    <w:rsid w:val="00BC1B04"/>
    <w:rsid w:val="00BD5812"/>
    <w:rsid w:val="00BE0476"/>
    <w:rsid w:val="00BE4F04"/>
    <w:rsid w:val="00BF0BCD"/>
    <w:rsid w:val="00C34FF8"/>
    <w:rsid w:val="00C47F5B"/>
    <w:rsid w:val="00C50616"/>
    <w:rsid w:val="00C7461C"/>
    <w:rsid w:val="00C82D8A"/>
    <w:rsid w:val="00C8434D"/>
    <w:rsid w:val="00CC7951"/>
    <w:rsid w:val="00CD1A5E"/>
    <w:rsid w:val="00CD2851"/>
    <w:rsid w:val="00CF39DF"/>
    <w:rsid w:val="00D01739"/>
    <w:rsid w:val="00D06867"/>
    <w:rsid w:val="00D1143B"/>
    <w:rsid w:val="00D11ABE"/>
    <w:rsid w:val="00D1446F"/>
    <w:rsid w:val="00D153C4"/>
    <w:rsid w:val="00D21817"/>
    <w:rsid w:val="00D220D6"/>
    <w:rsid w:val="00D2471F"/>
    <w:rsid w:val="00D37745"/>
    <w:rsid w:val="00D37D9D"/>
    <w:rsid w:val="00D47CD2"/>
    <w:rsid w:val="00D616E0"/>
    <w:rsid w:val="00D61FE7"/>
    <w:rsid w:val="00D836B7"/>
    <w:rsid w:val="00DA345B"/>
    <w:rsid w:val="00E020D7"/>
    <w:rsid w:val="00E070DD"/>
    <w:rsid w:val="00E1612F"/>
    <w:rsid w:val="00E306EA"/>
    <w:rsid w:val="00E475AD"/>
    <w:rsid w:val="00E622D6"/>
    <w:rsid w:val="00E645C2"/>
    <w:rsid w:val="00E76812"/>
    <w:rsid w:val="00EA53E6"/>
    <w:rsid w:val="00EC2FFC"/>
    <w:rsid w:val="00EE14FD"/>
    <w:rsid w:val="00EF194C"/>
    <w:rsid w:val="00F020CF"/>
    <w:rsid w:val="00F02D3A"/>
    <w:rsid w:val="00F43203"/>
    <w:rsid w:val="00F558C0"/>
    <w:rsid w:val="00F627F8"/>
    <w:rsid w:val="00F62B10"/>
    <w:rsid w:val="00FA5D37"/>
    <w:rsid w:val="00FC0382"/>
    <w:rsid w:val="00FC16B3"/>
    <w:rsid w:val="00FD589E"/>
    <w:rsid w:val="00FE211B"/>
    <w:rsid w:val="00FF04A2"/>
    <w:rsid w:val="00FF4E07"/>
    <w:rsid w:val="016D6AC7"/>
    <w:rsid w:val="036D2F67"/>
    <w:rsid w:val="037203C5"/>
    <w:rsid w:val="037F44E2"/>
    <w:rsid w:val="0392556B"/>
    <w:rsid w:val="03961AB8"/>
    <w:rsid w:val="04862D7A"/>
    <w:rsid w:val="048E4BB2"/>
    <w:rsid w:val="04EC3681"/>
    <w:rsid w:val="05880374"/>
    <w:rsid w:val="066569D4"/>
    <w:rsid w:val="066F6E3E"/>
    <w:rsid w:val="06897EFF"/>
    <w:rsid w:val="06B17456"/>
    <w:rsid w:val="076B5857"/>
    <w:rsid w:val="07FB4E2D"/>
    <w:rsid w:val="08432570"/>
    <w:rsid w:val="084762C4"/>
    <w:rsid w:val="090E0B90"/>
    <w:rsid w:val="092B34F0"/>
    <w:rsid w:val="09317E9F"/>
    <w:rsid w:val="094D790A"/>
    <w:rsid w:val="09694018"/>
    <w:rsid w:val="09954E0D"/>
    <w:rsid w:val="09D20644"/>
    <w:rsid w:val="0A0351DE"/>
    <w:rsid w:val="0A6C3DC0"/>
    <w:rsid w:val="0BA6139E"/>
    <w:rsid w:val="0C1F2F1F"/>
    <w:rsid w:val="0CB92195"/>
    <w:rsid w:val="0CF87B8D"/>
    <w:rsid w:val="0D1129FD"/>
    <w:rsid w:val="0DEB76F2"/>
    <w:rsid w:val="0E5928AD"/>
    <w:rsid w:val="0EDD528C"/>
    <w:rsid w:val="0F1D7D7F"/>
    <w:rsid w:val="122F22A3"/>
    <w:rsid w:val="12505D75"/>
    <w:rsid w:val="12AC38F3"/>
    <w:rsid w:val="13FB7F63"/>
    <w:rsid w:val="140E5EE8"/>
    <w:rsid w:val="149E2EC1"/>
    <w:rsid w:val="14DE58BA"/>
    <w:rsid w:val="152A40B0"/>
    <w:rsid w:val="15437E13"/>
    <w:rsid w:val="161C5A1E"/>
    <w:rsid w:val="163F682C"/>
    <w:rsid w:val="165F2A2B"/>
    <w:rsid w:val="183D0B4A"/>
    <w:rsid w:val="193B777F"/>
    <w:rsid w:val="19502AFF"/>
    <w:rsid w:val="1A3348FA"/>
    <w:rsid w:val="1A5B5BFF"/>
    <w:rsid w:val="1AF37BE5"/>
    <w:rsid w:val="1B5508A0"/>
    <w:rsid w:val="1B83540D"/>
    <w:rsid w:val="1C0876C1"/>
    <w:rsid w:val="1C5172BA"/>
    <w:rsid w:val="1CB57848"/>
    <w:rsid w:val="1E162569"/>
    <w:rsid w:val="1E4E3AB1"/>
    <w:rsid w:val="1E7159F1"/>
    <w:rsid w:val="1F3F164B"/>
    <w:rsid w:val="1FD9439E"/>
    <w:rsid w:val="209634ED"/>
    <w:rsid w:val="20AE4CDA"/>
    <w:rsid w:val="21E464DA"/>
    <w:rsid w:val="222D60D3"/>
    <w:rsid w:val="22F664C5"/>
    <w:rsid w:val="24EA11A8"/>
    <w:rsid w:val="25FD5DBC"/>
    <w:rsid w:val="265D7770"/>
    <w:rsid w:val="273F69DD"/>
    <w:rsid w:val="28DE3C83"/>
    <w:rsid w:val="29C76E0D"/>
    <w:rsid w:val="29DB4666"/>
    <w:rsid w:val="2A9F7442"/>
    <w:rsid w:val="2AE65071"/>
    <w:rsid w:val="2B320F6B"/>
    <w:rsid w:val="2C002162"/>
    <w:rsid w:val="2C3A1B18"/>
    <w:rsid w:val="2CB216AE"/>
    <w:rsid w:val="2CF021D7"/>
    <w:rsid w:val="2DF81343"/>
    <w:rsid w:val="2E2760CC"/>
    <w:rsid w:val="2ED81174"/>
    <w:rsid w:val="2FDC6090"/>
    <w:rsid w:val="30937A49"/>
    <w:rsid w:val="30D50061"/>
    <w:rsid w:val="315C42DF"/>
    <w:rsid w:val="318F1FBE"/>
    <w:rsid w:val="320F30FF"/>
    <w:rsid w:val="328D25EC"/>
    <w:rsid w:val="32C97752"/>
    <w:rsid w:val="331704BD"/>
    <w:rsid w:val="334212B2"/>
    <w:rsid w:val="33B0446E"/>
    <w:rsid w:val="34711E4F"/>
    <w:rsid w:val="34B61F58"/>
    <w:rsid w:val="355C48AD"/>
    <w:rsid w:val="35FE75F8"/>
    <w:rsid w:val="36103A89"/>
    <w:rsid w:val="366559E4"/>
    <w:rsid w:val="368306BC"/>
    <w:rsid w:val="3699568D"/>
    <w:rsid w:val="372633C5"/>
    <w:rsid w:val="379F4F25"/>
    <w:rsid w:val="38325D99"/>
    <w:rsid w:val="38AF2F46"/>
    <w:rsid w:val="38EC5F48"/>
    <w:rsid w:val="38FF3ECD"/>
    <w:rsid w:val="3A4B4EF0"/>
    <w:rsid w:val="3B693880"/>
    <w:rsid w:val="3BB56AC5"/>
    <w:rsid w:val="3C5E0F0B"/>
    <w:rsid w:val="3C642299"/>
    <w:rsid w:val="3C7050E2"/>
    <w:rsid w:val="3CF61143"/>
    <w:rsid w:val="3DB35286"/>
    <w:rsid w:val="3E104487"/>
    <w:rsid w:val="3E5A3954"/>
    <w:rsid w:val="3EB05C6A"/>
    <w:rsid w:val="3EFE1167"/>
    <w:rsid w:val="3FB928FC"/>
    <w:rsid w:val="3FDF2363"/>
    <w:rsid w:val="40A11D0E"/>
    <w:rsid w:val="417E7959"/>
    <w:rsid w:val="424D73D5"/>
    <w:rsid w:val="431A1904"/>
    <w:rsid w:val="432F53AF"/>
    <w:rsid w:val="438F22F2"/>
    <w:rsid w:val="43B14016"/>
    <w:rsid w:val="43C04259"/>
    <w:rsid w:val="43F81C45"/>
    <w:rsid w:val="44384737"/>
    <w:rsid w:val="44446C38"/>
    <w:rsid w:val="447B4661"/>
    <w:rsid w:val="44D37FBC"/>
    <w:rsid w:val="457A48DC"/>
    <w:rsid w:val="46701BA1"/>
    <w:rsid w:val="46C95B1B"/>
    <w:rsid w:val="4710374A"/>
    <w:rsid w:val="47305B9A"/>
    <w:rsid w:val="47354F5E"/>
    <w:rsid w:val="47705F96"/>
    <w:rsid w:val="47B916EB"/>
    <w:rsid w:val="47D546FC"/>
    <w:rsid w:val="47F70466"/>
    <w:rsid w:val="48870A15"/>
    <w:rsid w:val="489A151D"/>
    <w:rsid w:val="48A24875"/>
    <w:rsid w:val="48CE566A"/>
    <w:rsid w:val="49437E06"/>
    <w:rsid w:val="49675177"/>
    <w:rsid w:val="49952A14"/>
    <w:rsid w:val="49D822B4"/>
    <w:rsid w:val="4AE50A49"/>
    <w:rsid w:val="4B375749"/>
    <w:rsid w:val="4B663938"/>
    <w:rsid w:val="4BE331DB"/>
    <w:rsid w:val="4BFC429C"/>
    <w:rsid w:val="4CE92A73"/>
    <w:rsid w:val="4D2770F7"/>
    <w:rsid w:val="4DD80221"/>
    <w:rsid w:val="4E3C6BD2"/>
    <w:rsid w:val="4EA814F8"/>
    <w:rsid w:val="4F014A44"/>
    <w:rsid w:val="4F2002A2"/>
    <w:rsid w:val="4F55619D"/>
    <w:rsid w:val="4FF02BA9"/>
    <w:rsid w:val="4FFC2ABD"/>
    <w:rsid w:val="504752A8"/>
    <w:rsid w:val="50C705A1"/>
    <w:rsid w:val="50CC2917"/>
    <w:rsid w:val="510E7D88"/>
    <w:rsid w:val="513149E8"/>
    <w:rsid w:val="514C1EF7"/>
    <w:rsid w:val="51B67A2B"/>
    <w:rsid w:val="51C23892"/>
    <w:rsid w:val="52FC2DD4"/>
    <w:rsid w:val="53035F10"/>
    <w:rsid w:val="53095C1D"/>
    <w:rsid w:val="53733096"/>
    <w:rsid w:val="53B931EA"/>
    <w:rsid w:val="53E126F6"/>
    <w:rsid w:val="54BB2F47"/>
    <w:rsid w:val="552F7491"/>
    <w:rsid w:val="55774444"/>
    <w:rsid w:val="55F85AD5"/>
    <w:rsid w:val="56552F27"/>
    <w:rsid w:val="56B37C4E"/>
    <w:rsid w:val="57931F59"/>
    <w:rsid w:val="57BD5228"/>
    <w:rsid w:val="589C308F"/>
    <w:rsid w:val="58AD0DF8"/>
    <w:rsid w:val="58CB127E"/>
    <w:rsid w:val="59EF71EF"/>
    <w:rsid w:val="5AF70A51"/>
    <w:rsid w:val="5B57504B"/>
    <w:rsid w:val="5B6A1BC6"/>
    <w:rsid w:val="5BB16E51"/>
    <w:rsid w:val="5C024642"/>
    <w:rsid w:val="5D641CA2"/>
    <w:rsid w:val="5D83037A"/>
    <w:rsid w:val="5E624433"/>
    <w:rsid w:val="5ED846F5"/>
    <w:rsid w:val="5EDD1D0C"/>
    <w:rsid w:val="5EE27322"/>
    <w:rsid w:val="5EF57055"/>
    <w:rsid w:val="5F1C2834"/>
    <w:rsid w:val="5F221E14"/>
    <w:rsid w:val="5FEF619A"/>
    <w:rsid w:val="60046C77"/>
    <w:rsid w:val="60237BF2"/>
    <w:rsid w:val="603D5158"/>
    <w:rsid w:val="6094289E"/>
    <w:rsid w:val="614B102D"/>
    <w:rsid w:val="6151253D"/>
    <w:rsid w:val="6166248C"/>
    <w:rsid w:val="61D84114"/>
    <w:rsid w:val="624B51DE"/>
    <w:rsid w:val="625B4B63"/>
    <w:rsid w:val="62774225"/>
    <w:rsid w:val="63AD656C"/>
    <w:rsid w:val="63BF40D6"/>
    <w:rsid w:val="63C33BC6"/>
    <w:rsid w:val="64137F7D"/>
    <w:rsid w:val="65DF0A5F"/>
    <w:rsid w:val="65E47E23"/>
    <w:rsid w:val="65F22540"/>
    <w:rsid w:val="66AB28BE"/>
    <w:rsid w:val="66AD1FBB"/>
    <w:rsid w:val="66D460EA"/>
    <w:rsid w:val="670047E9"/>
    <w:rsid w:val="679B2764"/>
    <w:rsid w:val="67C27D3C"/>
    <w:rsid w:val="67D31EFE"/>
    <w:rsid w:val="68464DC5"/>
    <w:rsid w:val="688356D2"/>
    <w:rsid w:val="68BB258E"/>
    <w:rsid w:val="69382960"/>
    <w:rsid w:val="693D1D24"/>
    <w:rsid w:val="694806C9"/>
    <w:rsid w:val="6A687275"/>
    <w:rsid w:val="6A793230"/>
    <w:rsid w:val="6AB3048C"/>
    <w:rsid w:val="6AB36C00"/>
    <w:rsid w:val="6AC00E5F"/>
    <w:rsid w:val="6AD761A9"/>
    <w:rsid w:val="6AEC1C54"/>
    <w:rsid w:val="6B686E01"/>
    <w:rsid w:val="6B7E4876"/>
    <w:rsid w:val="6B8A321B"/>
    <w:rsid w:val="6BD3071E"/>
    <w:rsid w:val="6BE21B12"/>
    <w:rsid w:val="6C8612D7"/>
    <w:rsid w:val="6D7B72BF"/>
    <w:rsid w:val="6D8C29C6"/>
    <w:rsid w:val="6DCA5B51"/>
    <w:rsid w:val="6E2B60EC"/>
    <w:rsid w:val="6E2D5DD3"/>
    <w:rsid w:val="6EED2A6B"/>
    <w:rsid w:val="6F6C0FB1"/>
    <w:rsid w:val="71245BFC"/>
    <w:rsid w:val="71793B16"/>
    <w:rsid w:val="71DC5E53"/>
    <w:rsid w:val="72617A36"/>
    <w:rsid w:val="72A10820"/>
    <w:rsid w:val="72B15531"/>
    <w:rsid w:val="72BD7A32"/>
    <w:rsid w:val="72BF7C4E"/>
    <w:rsid w:val="7434641A"/>
    <w:rsid w:val="744C5512"/>
    <w:rsid w:val="7601057E"/>
    <w:rsid w:val="76065B94"/>
    <w:rsid w:val="761A1225"/>
    <w:rsid w:val="7688339B"/>
    <w:rsid w:val="76924B7B"/>
    <w:rsid w:val="77CE4490"/>
    <w:rsid w:val="77D23F80"/>
    <w:rsid w:val="78283BA0"/>
    <w:rsid w:val="791D7113"/>
    <w:rsid w:val="798B2638"/>
    <w:rsid w:val="799D236B"/>
    <w:rsid w:val="79D35D8D"/>
    <w:rsid w:val="79E81839"/>
    <w:rsid w:val="79EA1A55"/>
    <w:rsid w:val="7ADE49EA"/>
    <w:rsid w:val="7B034450"/>
    <w:rsid w:val="7B73700E"/>
    <w:rsid w:val="7BCE4A5E"/>
    <w:rsid w:val="7E1A3F8B"/>
    <w:rsid w:val="7E437985"/>
    <w:rsid w:val="7EC108AA"/>
    <w:rsid w:val="7ECF00B7"/>
    <w:rsid w:val="7F1B445E"/>
    <w:rsid w:val="7F5B2A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17"/>
    <w:semiHidden/>
    <w:unhideWhenUsed/>
    <w:qFormat/>
    <w:uiPriority w:val="99"/>
    <w:pPr>
      <w:spacing w:after="120"/>
      <w:ind w:left="420" w:leftChars="200"/>
    </w:pPr>
  </w:style>
  <w:style w:type="paragraph" w:styleId="3">
    <w:name w:val="Plain Text"/>
    <w:basedOn w:val="1"/>
    <w:link w:val="14"/>
    <w:qFormat/>
    <w:uiPriority w:val="0"/>
    <w:pPr>
      <w:adjustRightInd w:val="0"/>
      <w:spacing w:line="360" w:lineRule="atLeast"/>
      <w:textAlignment w:val="baseline"/>
    </w:pPr>
    <w:rPr>
      <w:rFonts w:ascii="宋体" w:hAnsi="Courier New" w:eastAsia="宋体" w:cs="Times New Roman"/>
      <w:szCs w:val="20"/>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Body Text First Indent 2"/>
    <w:basedOn w:val="2"/>
    <w:link w:val="18"/>
    <w:unhideWhenUsed/>
    <w:qFormat/>
    <w:uiPriority w:val="99"/>
    <w:pPr>
      <w:ind w:firstLine="420" w:firstLineChars="200"/>
    </w:pPr>
    <w:rPr>
      <w:rFonts w:ascii="Calibri" w:hAnsi="Calibri" w:eastAsia="宋体" w:cs="Times New Roman"/>
      <w:szCs w:val="24"/>
    </w:rPr>
  </w:style>
  <w:style w:type="character" w:styleId="9">
    <w:name w:val="Hyperlink"/>
    <w:basedOn w:val="8"/>
    <w:unhideWhenUsed/>
    <w:qFormat/>
    <w:uiPriority w:val="99"/>
    <w:rPr>
      <w:color w:val="0563C1" w:themeColor="hyperlink"/>
      <w:u w:val="single"/>
      <w14:textFill>
        <w14:solidFill>
          <w14:schemeClr w14:val="hlink"/>
        </w14:solidFill>
      </w14:textFill>
    </w:rPr>
  </w:style>
  <w:style w:type="character" w:customStyle="1" w:styleId="10">
    <w:name w:val="页眉 Char"/>
    <w:basedOn w:val="8"/>
    <w:link w:val="5"/>
    <w:qFormat/>
    <w:uiPriority w:val="99"/>
    <w:rPr>
      <w:sz w:val="18"/>
      <w:szCs w:val="18"/>
    </w:rPr>
  </w:style>
  <w:style w:type="character" w:customStyle="1" w:styleId="11">
    <w:name w:val="页脚 Char"/>
    <w:basedOn w:val="8"/>
    <w:link w:val="4"/>
    <w:qFormat/>
    <w:uiPriority w:val="99"/>
    <w:rPr>
      <w:sz w:val="18"/>
      <w:szCs w:val="18"/>
    </w:rPr>
  </w:style>
  <w:style w:type="paragraph" w:customStyle="1" w:styleId="12">
    <w:name w:val="列出段落1"/>
    <w:basedOn w:val="1"/>
    <w:qFormat/>
    <w:uiPriority w:val="34"/>
    <w:pPr>
      <w:ind w:firstLine="420" w:firstLineChars="200"/>
    </w:pPr>
  </w:style>
  <w:style w:type="paragraph" w:customStyle="1" w:styleId="13">
    <w:name w:val="表格文字"/>
    <w:basedOn w:val="1"/>
    <w:qFormat/>
    <w:uiPriority w:val="0"/>
    <w:pPr>
      <w:adjustRightInd w:val="0"/>
      <w:spacing w:before="25" w:after="25"/>
      <w:jc w:val="left"/>
      <w:textAlignment w:val="baseline"/>
    </w:pPr>
    <w:rPr>
      <w:rFonts w:ascii="Times New Roman" w:hAnsi="Times New Roman" w:eastAsia="宋体" w:cs="Times New Roman"/>
      <w:bCs/>
      <w:spacing w:val="10"/>
      <w:kern w:val="0"/>
      <w:sz w:val="24"/>
      <w:szCs w:val="24"/>
    </w:rPr>
  </w:style>
  <w:style w:type="character" w:customStyle="1" w:styleId="14">
    <w:name w:val="纯文本 Char"/>
    <w:basedOn w:val="8"/>
    <w:link w:val="3"/>
    <w:qFormat/>
    <w:uiPriority w:val="0"/>
    <w:rPr>
      <w:rFonts w:ascii="宋体" w:hAnsi="Courier New" w:eastAsia="宋体" w:cs="Times New Roman"/>
      <w:kern w:val="2"/>
      <w:sz w:val="21"/>
    </w:rPr>
  </w:style>
  <w:style w:type="paragraph" w:customStyle="1" w:styleId="15">
    <w:name w:val="1"/>
    <w:basedOn w:val="1"/>
    <w:next w:val="3"/>
    <w:qFormat/>
    <w:uiPriority w:val="0"/>
    <w:rPr>
      <w:rFonts w:ascii="宋体" w:hAnsi="Courier New" w:eastAsia="宋体" w:cs="Times New Roman"/>
      <w:szCs w:val="20"/>
    </w:rPr>
  </w:style>
  <w:style w:type="paragraph" w:customStyle="1" w:styleId="16">
    <w:name w:val="样式 55 + (西文) Times New Roman (中文) 宋体 五号 加粗 行距: 1.5 倍行距"/>
    <w:basedOn w:val="1"/>
    <w:qFormat/>
    <w:uiPriority w:val="0"/>
    <w:pPr>
      <w:adjustRightInd w:val="0"/>
      <w:snapToGrid w:val="0"/>
      <w:spacing w:line="360" w:lineRule="auto"/>
      <w:textAlignment w:val="baseline"/>
    </w:pPr>
    <w:rPr>
      <w:rFonts w:ascii="Times New Roman" w:hAnsi="Times New Roman" w:eastAsia="黑体" w:cs="宋体"/>
      <w:bCs/>
      <w:sz w:val="28"/>
      <w:szCs w:val="20"/>
    </w:rPr>
  </w:style>
  <w:style w:type="character" w:customStyle="1" w:styleId="17">
    <w:name w:val="正文文本缩进 Char"/>
    <w:basedOn w:val="8"/>
    <w:link w:val="2"/>
    <w:semiHidden/>
    <w:qFormat/>
    <w:uiPriority w:val="99"/>
    <w:rPr>
      <w:kern w:val="2"/>
      <w:sz w:val="21"/>
      <w:szCs w:val="22"/>
    </w:rPr>
  </w:style>
  <w:style w:type="character" w:customStyle="1" w:styleId="18">
    <w:name w:val="正文首行缩进 2 Char"/>
    <w:basedOn w:val="17"/>
    <w:link w:val="6"/>
    <w:qFormat/>
    <w:uiPriority w:val="99"/>
    <w:rPr>
      <w:rFonts w:ascii="Calibri" w:hAnsi="Calibri" w:eastAsia="宋体" w:cs="Times New Roman"/>
      <w:kern w:val="2"/>
      <w:sz w:val="21"/>
      <w:szCs w:val="24"/>
    </w:rPr>
  </w:style>
  <w:style w:type="paragraph" w:customStyle="1" w:styleId="19">
    <w:name w:val="55"/>
    <w:basedOn w:val="1"/>
    <w:qFormat/>
    <w:uiPriority w:val="0"/>
    <w:pPr>
      <w:adjustRightInd w:val="0"/>
      <w:spacing w:line="500" w:lineRule="exact"/>
      <w:ind w:firstLine="629"/>
      <w:textAlignment w:val="baseline"/>
    </w:pPr>
    <w:rPr>
      <w:rFonts w:ascii="仿宋_GB2312" w:hAnsi="Times New Roman" w:eastAsia="仿宋_GB2312" w:cs="Times New Roman"/>
      <w:sz w:val="28"/>
      <w:szCs w:val="28"/>
    </w:rPr>
  </w:style>
  <w:style w:type="paragraph" w:styleId="2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3436</Words>
  <Characters>3550</Characters>
  <Lines>20</Lines>
  <Paragraphs>5</Paragraphs>
  <TotalTime>2</TotalTime>
  <ScaleCrop>false</ScaleCrop>
  <LinksUpToDate>false</LinksUpToDate>
  <CharactersWithSpaces>3575</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2023-06-14T07:50:00Z</dcterms:created>
  <dc:creator>new</dc:creator>
  <cp:lastModifiedBy>Jvvvv_</cp:lastModifiedBy>
  <dcterms:modified xsi:type="dcterms:W3CDTF">2024-10-31T00:37:02Z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D0E99698EBA149B394770263166B2CD5_12</vt:lpwstr>
  </property>
</Properties>
</file>