
<file path=[Content_Types].xml><?xml version="1.0" encoding="utf-8"?>
<Types xmlns="http://schemas.openxmlformats.org/package/2006/content-types">
  <Default Extension="png" ContentType="image/png"/>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3" w:beforeLines="10" w:line="400" w:lineRule="exact"/>
        <w:rPr>
          <w:rFonts w:eastAsia="华康简魏碑"/>
          <w:b/>
          <w:bCs/>
          <w:spacing w:val="80"/>
          <w:sz w:val="30"/>
        </w:rPr>
      </w:pPr>
      <w:bookmarkStart w:id="141" w:name="_GoBack"/>
      <w:bookmarkEnd w:id="141"/>
    </w:p>
    <w:p>
      <w:pPr>
        <w:spacing w:line="800" w:lineRule="exact"/>
        <w:rPr>
          <w:rFonts w:ascii="华康简魏碑" w:hAnsi="Courier New" w:eastAsia="华康简魏碑"/>
          <w:b/>
          <w:bCs/>
          <w:spacing w:val="80"/>
          <w:sz w:val="64"/>
          <w:szCs w:val="20"/>
        </w:rPr>
      </w:pPr>
    </w:p>
    <w:p>
      <w:pPr>
        <w:spacing w:line="800" w:lineRule="exact"/>
        <w:rPr>
          <w:rFonts w:ascii="华康简魏碑" w:hAnsi="Courier New" w:eastAsia="华康简魏碑"/>
          <w:b/>
          <w:bCs/>
          <w:spacing w:val="80"/>
          <w:sz w:val="64"/>
          <w:szCs w:val="20"/>
        </w:rPr>
      </w:pPr>
    </w:p>
    <w:p>
      <w:pPr>
        <w:spacing w:line="800" w:lineRule="exact"/>
        <w:jc w:val="center"/>
        <w:rPr>
          <w:rFonts w:eastAsia="方正小标宋简体"/>
          <w:spacing w:val="80"/>
          <w:sz w:val="44"/>
          <w:szCs w:val="44"/>
        </w:rPr>
      </w:pPr>
      <w:r>
        <w:rPr>
          <w:rFonts w:hint="eastAsia" w:eastAsia="方正小标宋简体"/>
          <w:spacing w:val="80"/>
          <w:sz w:val="44"/>
          <w:szCs w:val="44"/>
        </w:rPr>
        <w:t>小金碗高速灌封机采购</w:t>
      </w:r>
    </w:p>
    <w:p>
      <w:pPr>
        <w:spacing w:line="800" w:lineRule="exact"/>
        <w:jc w:val="center"/>
        <w:rPr>
          <w:rFonts w:eastAsia="方正小标宋简体"/>
          <w:spacing w:val="80"/>
          <w:sz w:val="44"/>
          <w:szCs w:val="44"/>
        </w:rPr>
      </w:pPr>
      <w:r>
        <w:rPr>
          <w:rFonts w:hint="eastAsia" w:eastAsia="方正小标宋简体"/>
          <w:spacing w:val="80"/>
          <w:sz w:val="44"/>
          <w:szCs w:val="44"/>
        </w:rPr>
        <w:t>(SQ-202503)项目</w:t>
      </w:r>
    </w:p>
    <w:p>
      <w:pPr>
        <w:spacing w:line="800" w:lineRule="exact"/>
        <w:jc w:val="center"/>
        <w:rPr>
          <w:rFonts w:eastAsia="方正小标宋简体"/>
          <w:spacing w:val="80"/>
          <w:sz w:val="44"/>
          <w:szCs w:val="44"/>
        </w:rPr>
      </w:pPr>
      <w:r>
        <w:rPr>
          <w:rFonts w:hint="eastAsia" w:eastAsia="方正小标宋简体"/>
          <w:spacing w:val="80"/>
          <w:sz w:val="44"/>
          <w:szCs w:val="44"/>
        </w:rPr>
        <w:t>比选方案</w:t>
      </w:r>
    </w:p>
    <w:p>
      <w:pPr>
        <w:pStyle w:val="13"/>
        <w:tabs>
          <w:tab w:val="center" w:pos="4819"/>
          <w:tab w:val="left" w:pos="4861"/>
        </w:tabs>
        <w:spacing w:line="800" w:lineRule="exact"/>
        <w:jc w:val="left"/>
        <w:rPr>
          <w:rFonts w:hint="eastAsia" w:hAnsi="宋体"/>
          <w:b/>
          <w:sz w:val="36"/>
          <w:szCs w:val="36"/>
        </w:rPr>
      </w:pPr>
      <w:r>
        <w:rPr>
          <w:rFonts w:hAnsi="宋体"/>
          <w:b/>
          <w:sz w:val="36"/>
          <w:szCs w:val="36"/>
        </w:rPr>
        <w:tab/>
      </w:r>
    </w:p>
    <w:p>
      <w:pPr>
        <w:pStyle w:val="13"/>
        <w:spacing w:line="800" w:lineRule="exact"/>
        <w:jc w:val="center"/>
        <w:rPr>
          <w:rFonts w:hint="eastAsia" w:hAnsi="宋体"/>
          <w:b/>
          <w:sz w:val="36"/>
          <w:szCs w:val="36"/>
        </w:rPr>
      </w:pPr>
    </w:p>
    <w:p>
      <w:pPr>
        <w:pStyle w:val="13"/>
        <w:spacing w:line="800" w:lineRule="exact"/>
        <w:jc w:val="center"/>
        <w:rPr>
          <w:rFonts w:hint="eastAsia" w:hAnsi="宋体"/>
          <w:b/>
          <w:sz w:val="36"/>
          <w:szCs w:val="36"/>
        </w:rPr>
      </w:pPr>
    </w:p>
    <w:p>
      <w:pPr>
        <w:pStyle w:val="13"/>
        <w:spacing w:line="800" w:lineRule="exact"/>
        <w:jc w:val="center"/>
        <w:rPr>
          <w:rFonts w:hint="eastAsia" w:hAnsi="宋体"/>
          <w:b/>
          <w:sz w:val="36"/>
          <w:szCs w:val="36"/>
        </w:rPr>
      </w:pPr>
    </w:p>
    <w:p>
      <w:pPr>
        <w:pStyle w:val="13"/>
        <w:spacing w:line="800" w:lineRule="exact"/>
        <w:jc w:val="center"/>
        <w:rPr>
          <w:rFonts w:hint="eastAsia" w:hAnsi="宋体"/>
          <w:b/>
          <w:sz w:val="36"/>
          <w:szCs w:val="36"/>
        </w:rPr>
      </w:pPr>
    </w:p>
    <w:p>
      <w:pPr>
        <w:pStyle w:val="13"/>
        <w:spacing w:line="800" w:lineRule="exact"/>
        <w:jc w:val="center"/>
        <w:rPr>
          <w:rFonts w:hint="eastAsia" w:hAnsi="宋体"/>
          <w:b/>
          <w:sz w:val="36"/>
          <w:szCs w:val="36"/>
        </w:rPr>
      </w:pPr>
    </w:p>
    <w:p>
      <w:pPr>
        <w:pStyle w:val="13"/>
        <w:spacing w:line="800" w:lineRule="exact"/>
        <w:jc w:val="center"/>
        <w:rPr>
          <w:rFonts w:ascii="Times New Roman" w:hAnsi="Times New Roman" w:eastAsia="方正小标宋简体"/>
          <w:b/>
          <w:sz w:val="36"/>
          <w:szCs w:val="36"/>
        </w:rPr>
      </w:pPr>
      <w:r>
        <w:rPr>
          <w:rFonts w:hint="eastAsia" w:ascii="Times New Roman" w:hAnsi="Times New Roman" w:eastAsia="方正小标宋简体"/>
          <w:spacing w:val="80"/>
          <w:sz w:val="44"/>
          <w:szCs w:val="44"/>
        </w:rPr>
        <w:t>广西双钱健康产业股份有限公司</w:t>
      </w:r>
    </w:p>
    <w:p>
      <w:pPr>
        <w:pStyle w:val="13"/>
        <w:spacing w:line="800" w:lineRule="exact"/>
        <w:jc w:val="center"/>
        <w:rPr>
          <w:rFonts w:ascii="Times New Roman" w:hAnsi="Times New Roman" w:eastAsia="方正小标宋简体"/>
          <w:spacing w:val="8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648" w:right="1134" w:bottom="1648" w:left="1134" w:header="850" w:footer="1417" w:gutter="0"/>
          <w:pgNumType w:start="0"/>
          <w:cols w:space="720" w:num="1"/>
          <w:docGrid w:type="lines" w:linePitch="331" w:charSpace="0"/>
        </w:sectPr>
      </w:pPr>
      <w:r>
        <w:rPr>
          <w:rFonts w:ascii="Times New Roman" w:hAnsi="Times New Roman" w:eastAsia="方正小标宋简体"/>
          <w:spacing w:val="80"/>
          <w:sz w:val="44"/>
          <w:szCs w:val="44"/>
        </w:rPr>
        <w:t>2025年</w:t>
      </w:r>
      <w:r>
        <w:rPr>
          <w:rFonts w:hint="eastAsia" w:ascii="Times New Roman" w:hAnsi="Times New Roman" w:eastAsia="方正小标宋简体"/>
          <w:spacing w:val="80"/>
          <w:sz w:val="44"/>
          <w:szCs w:val="44"/>
        </w:rPr>
        <w:t>6</w:t>
      </w:r>
      <w:r>
        <w:rPr>
          <w:rFonts w:ascii="Times New Roman" w:hAnsi="Times New Roman" w:eastAsia="方正小标宋简体"/>
          <w:spacing w:val="80"/>
          <w:sz w:val="44"/>
          <w:szCs w:val="44"/>
        </w:rPr>
        <w:t>月</w:t>
      </w:r>
    </w:p>
    <w:p>
      <w:pPr>
        <w:pStyle w:val="13"/>
        <w:rPr>
          <w:rFonts w:ascii="Times New Roman" w:hAnsi="Times New Roman"/>
        </w:rPr>
      </w:pPr>
    </w:p>
    <w:p>
      <w:pPr>
        <w:pStyle w:val="13"/>
        <w:jc w:val="center"/>
        <w:rPr>
          <w:rFonts w:hint="eastAsia" w:ascii="黑体" w:hAnsi="黑体" w:eastAsia="黑体"/>
          <w:bCs/>
          <w:sz w:val="48"/>
          <w:szCs w:val="48"/>
        </w:rPr>
      </w:pPr>
      <w:r>
        <w:rPr>
          <w:rFonts w:hint="eastAsia" w:ascii="黑体" w:hAnsi="黑体" w:eastAsia="黑体"/>
          <w:bCs/>
          <w:sz w:val="48"/>
          <w:szCs w:val="48"/>
        </w:rPr>
        <w:t>目     录</w:t>
      </w:r>
    </w:p>
    <w:p>
      <w:pPr>
        <w:pStyle w:val="19"/>
        <w:rPr>
          <w:bCs w:val="0"/>
          <w:caps w:val="0"/>
          <w:sz w:val="48"/>
          <w:szCs w:val="48"/>
        </w:rPr>
      </w:pPr>
    </w:p>
    <w:p>
      <w:pPr>
        <w:pStyle w:val="19"/>
        <w:tabs>
          <w:tab w:val="right" w:leader="dot" w:pos="9628"/>
        </w:tabs>
        <w:rPr>
          <w:rStyle w:val="35"/>
          <w:rFonts w:hint="eastAsia" w:asciiTheme="majorEastAsia" w:hAnsiTheme="majorEastAsia" w:eastAsiaTheme="majorEastAsia"/>
          <w:caps w:val="0"/>
          <w:color w:val="auto"/>
        </w:rPr>
      </w:pPr>
      <w:bookmarkStart w:id="0" w:name="_Toc213206171"/>
      <w:bookmarkStart w:id="1" w:name="_Toc139967217"/>
      <w:bookmarkStart w:id="2" w:name="_Toc139966433"/>
      <w:bookmarkStart w:id="3" w:name="_Toc139967210"/>
      <w:bookmarkStart w:id="4" w:name="_Toc139966426"/>
      <w:r>
        <w:rPr>
          <w:rStyle w:val="35"/>
          <w:color w:val="auto"/>
        </w:rPr>
        <w:fldChar w:fldCharType="begin"/>
      </w:r>
      <w:r>
        <w:rPr>
          <w:rStyle w:val="35"/>
          <w:color w:val="auto"/>
        </w:rPr>
        <w:instrText xml:space="preserve"> TOC \o "1-3" \h \z \u </w:instrText>
      </w:r>
      <w:r>
        <w:rPr>
          <w:rStyle w:val="35"/>
          <w:color w:val="auto"/>
        </w:rPr>
        <w:fldChar w:fldCharType="separate"/>
      </w:r>
      <w:r>
        <w:fldChar w:fldCharType="begin"/>
      </w:r>
      <w:r>
        <w:instrText xml:space="preserve"> HYPERLINK \l "_Toc519678417" </w:instrText>
      </w:r>
      <w:r>
        <w:fldChar w:fldCharType="separate"/>
      </w:r>
      <w:r>
        <w:rPr>
          <w:rStyle w:val="35"/>
          <w:rFonts w:hint="eastAsia" w:asciiTheme="majorEastAsia" w:hAnsiTheme="majorEastAsia" w:eastAsiaTheme="majorEastAsia"/>
          <w:caps w:val="0"/>
          <w:color w:val="auto"/>
        </w:rPr>
        <w:t>第一章</w:t>
      </w:r>
      <w:r>
        <w:rPr>
          <w:rStyle w:val="35"/>
          <w:rFonts w:asciiTheme="majorEastAsia" w:hAnsiTheme="majorEastAsia" w:eastAsiaTheme="majorEastAsia"/>
          <w:caps w:val="0"/>
          <w:color w:val="auto"/>
        </w:rPr>
        <w:t xml:space="preserve">  </w:t>
      </w:r>
      <w:r>
        <w:rPr>
          <w:rStyle w:val="35"/>
          <w:rFonts w:hint="eastAsia" w:asciiTheme="majorEastAsia" w:hAnsiTheme="majorEastAsia" w:eastAsiaTheme="majorEastAsia"/>
          <w:caps w:val="0"/>
          <w:color w:val="auto"/>
        </w:rPr>
        <w:t>公开询价比选邀请函</w:t>
      </w:r>
      <w:r>
        <w:rPr>
          <w:rStyle w:val="35"/>
          <w:rFonts w:asciiTheme="majorEastAsia" w:hAnsiTheme="majorEastAsia" w:eastAsiaTheme="majorEastAsia"/>
          <w:caps w:val="0"/>
          <w:color w:val="auto"/>
        </w:rPr>
        <w:tab/>
      </w:r>
      <w:r>
        <w:rPr>
          <w:rStyle w:val="35"/>
          <w:rFonts w:asciiTheme="majorEastAsia" w:hAnsiTheme="majorEastAsia" w:eastAsiaTheme="majorEastAsia"/>
          <w:caps w:val="0"/>
          <w:color w:val="auto"/>
        </w:rPr>
        <w:fldChar w:fldCharType="begin"/>
      </w:r>
      <w:r>
        <w:rPr>
          <w:rStyle w:val="35"/>
          <w:rFonts w:asciiTheme="majorEastAsia" w:hAnsiTheme="majorEastAsia" w:eastAsiaTheme="majorEastAsia"/>
          <w:caps w:val="0"/>
          <w:color w:val="auto"/>
        </w:rPr>
        <w:instrText xml:space="preserve"> PAGEREF _Toc519678417 \h </w:instrText>
      </w:r>
      <w:r>
        <w:rPr>
          <w:rStyle w:val="35"/>
          <w:rFonts w:asciiTheme="majorEastAsia" w:hAnsiTheme="majorEastAsia" w:eastAsiaTheme="majorEastAsia"/>
          <w:caps w:val="0"/>
          <w:color w:val="auto"/>
        </w:rPr>
        <w:fldChar w:fldCharType="separate"/>
      </w:r>
      <w:r>
        <w:rPr>
          <w:rStyle w:val="35"/>
          <w:rFonts w:asciiTheme="majorEastAsia" w:hAnsiTheme="majorEastAsia" w:eastAsiaTheme="majorEastAsia"/>
          <w:caps w:val="0"/>
          <w:color w:val="auto"/>
        </w:rPr>
        <w:t>2</w:t>
      </w:r>
      <w:r>
        <w:rPr>
          <w:rStyle w:val="35"/>
          <w:rFonts w:asciiTheme="majorEastAsia" w:hAnsiTheme="majorEastAsia" w:eastAsiaTheme="majorEastAsia"/>
          <w:caps w:val="0"/>
          <w:color w:val="auto"/>
        </w:rPr>
        <w:fldChar w:fldCharType="end"/>
      </w:r>
      <w:r>
        <w:rPr>
          <w:rStyle w:val="35"/>
          <w:rFonts w:asciiTheme="majorEastAsia" w:hAnsiTheme="majorEastAsia" w:eastAsiaTheme="majorEastAsia"/>
          <w:caps w:val="0"/>
          <w:color w:val="auto"/>
        </w:rPr>
        <w:fldChar w:fldCharType="end"/>
      </w:r>
    </w:p>
    <w:p>
      <w:pPr>
        <w:pStyle w:val="19"/>
        <w:tabs>
          <w:tab w:val="right" w:leader="dot" w:pos="9628"/>
        </w:tabs>
        <w:rPr>
          <w:rStyle w:val="35"/>
          <w:rFonts w:hint="eastAsia" w:asciiTheme="majorEastAsia" w:hAnsiTheme="majorEastAsia" w:eastAsiaTheme="majorEastAsia"/>
          <w:caps w:val="0"/>
          <w:color w:val="auto"/>
        </w:rPr>
      </w:pPr>
      <w:r>
        <w:fldChar w:fldCharType="begin"/>
      </w:r>
      <w:r>
        <w:instrText xml:space="preserve"> HYPERLINK \l "_Toc519678418" </w:instrText>
      </w:r>
      <w:r>
        <w:fldChar w:fldCharType="separate"/>
      </w:r>
      <w:r>
        <w:rPr>
          <w:rStyle w:val="35"/>
          <w:rFonts w:hint="eastAsia" w:asciiTheme="majorEastAsia" w:hAnsiTheme="majorEastAsia" w:eastAsiaTheme="majorEastAsia"/>
          <w:caps w:val="0"/>
          <w:color w:val="auto"/>
        </w:rPr>
        <w:t>第二章</w:t>
      </w:r>
      <w:r>
        <w:rPr>
          <w:rStyle w:val="35"/>
          <w:rFonts w:asciiTheme="majorEastAsia" w:hAnsiTheme="majorEastAsia" w:eastAsiaTheme="majorEastAsia"/>
          <w:caps w:val="0"/>
          <w:color w:val="auto"/>
        </w:rPr>
        <w:t xml:space="preserve">  </w:t>
      </w:r>
      <w:r>
        <w:rPr>
          <w:rStyle w:val="35"/>
          <w:rFonts w:hint="eastAsia" w:asciiTheme="majorEastAsia" w:hAnsiTheme="majorEastAsia" w:eastAsiaTheme="majorEastAsia"/>
          <w:caps w:val="0"/>
          <w:color w:val="auto"/>
        </w:rPr>
        <w:t>项目采购需求</w:t>
      </w:r>
      <w:r>
        <w:rPr>
          <w:rStyle w:val="35"/>
          <w:rFonts w:asciiTheme="majorEastAsia" w:hAnsiTheme="majorEastAsia" w:eastAsiaTheme="majorEastAsia"/>
          <w:caps w:val="0"/>
          <w:color w:val="auto"/>
        </w:rPr>
        <w:tab/>
      </w:r>
      <w:r>
        <w:rPr>
          <w:rStyle w:val="35"/>
          <w:rFonts w:asciiTheme="majorEastAsia" w:hAnsiTheme="majorEastAsia" w:eastAsiaTheme="majorEastAsia"/>
          <w:caps w:val="0"/>
          <w:color w:val="auto"/>
        </w:rPr>
        <w:fldChar w:fldCharType="begin"/>
      </w:r>
      <w:r>
        <w:rPr>
          <w:rStyle w:val="35"/>
          <w:rFonts w:asciiTheme="majorEastAsia" w:hAnsiTheme="majorEastAsia" w:eastAsiaTheme="majorEastAsia"/>
          <w:caps w:val="0"/>
          <w:color w:val="auto"/>
        </w:rPr>
        <w:instrText xml:space="preserve"> PAGEREF _Toc519678418 \h </w:instrText>
      </w:r>
      <w:r>
        <w:rPr>
          <w:rStyle w:val="35"/>
          <w:rFonts w:asciiTheme="majorEastAsia" w:hAnsiTheme="majorEastAsia" w:eastAsiaTheme="majorEastAsia"/>
          <w:caps w:val="0"/>
          <w:color w:val="auto"/>
        </w:rPr>
        <w:fldChar w:fldCharType="separate"/>
      </w:r>
      <w:r>
        <w:rPr>
          <w:rStyle w:val="35"/>
          <w:rFonts w:asciiTheme="majorEastAsia" w:hAnsiTheme="majorEastAsia" w:eastAsiaTheme="majorEastAsia"/>
          <w:caps w:val="0"/>
          <w:color w:val="auto"/>
        </w:rPr>
        <w:t>3</w:t>
      </w:r>
      <w:r>
        <w:rPr>
          <w:rStyle w:val="35"/>
          <w:rFonts w:asciiTheme="majorEastAsia" w:hAnsiTheme="majorEastAsia" w:eastAsiaTheme="majorEastAsia"/>
          <w:caps w:val="0"/>
          <w:color w:val="auto"/>
        </w:rPr>
        <w:fldChar w:fldCharType="end"/>
      </w:r>
      <w:r>
        <w:rPr>
          <w:rStyle w:val="35"/>
          <w:rFonts w:asciiTheme="majorEastAsia" w:hAnsiTheme="majorEastAsia" w:eastAsiaTheme="majorEastAsia"/>
          <w:caps w:val="0"/>
          <w:color w:val="auto"/>
        </w:rPr>
        <w:fldChar w:fldCharType="end"/>
      </w:r>
    </w:p>
    <w:p>
      <w:pPr>
        <w:pStyle w:val="19"/>
        <w:tabs>
          <w:tab w:val="right" w:leader="dot" w:pos="9628"/>
        </w:tabs>
        <w:rPr>
          <w:rStyle w:val="35"/>
          <w:rFonts w:hint="eastAsia" w:asciiTheme="majorEastAsia" w:hAnsiTheme="majorEastAsia" w:eastAsiaTheme="majorEastAsia"/>
          <w:caps w:val="0"/>
          <w:color w:val="auto"/>
        </w:rPr>
      </w:pPr>
      <w:r>
        <w:fldChar w:fldCharType="begin"/>
      </w:r>
      <w:r>
        <w:instrText xml:space="preserve"> HYPERLINK \l "_Toc519678419" </w:instrText>
      </w:r>
      <w:r>
        <w:fldChar w:fldCharType="separate"/>
      </w:r>
      <w:r>
        <w:rPr>
          <w:rStyle w:val="35"/>
          <w:rFonts w:hint="eastAsia" w:asciiTheme="majorEastAsia" w:hAnsiTheme="majorEastAsia" w:eastAsiaTheme="majorEastAsia"/>
          <w:caps w:val="0"/>
          <w:color w:val="auto"/>
        </w:rPr>
        <w:t>第三章</w:t>
      </w:r>
      <w:r>
        <w:rPr>
          <w:rStyle w:val="35"/>
          <w:rFonts w:asciiTheme="majorEastAsia" w:hAnsiTheme="majorEastAsia" w:eastAsiaTheme="majorEastAsia"/>
          <w:caps w:val="0"/>
          <w:color w:val="auto"/>
        </w:rPr>
        <w:t xml:space="preserve">  </w:t>
      </w:r>
      <w:r>
        <w:rPr>
          <w:rStyle w:val="35"/>
          <w:rFonts w:hint="eastAsia" w:asciiTheme="majorEastAsia" w:hAnsiTheme="majorEastAsia" w:eastAsiaTheme="majorEastAsia"/>
          <w:caps w:val="0"/>
          <w:color w:val="auto"/>
        </w:rPr>
        <w:t>评审办法</w:t>
      </w:r>
      <w:r>
        <w:rPr>
          <w:rStyle w:val="35"/>
          <w:rFonts w:asciiTheme="majorEastAsia" w:hAnsiTheme="majorEastAsia" w:eastAsiaTheme="majorEastAsia"/>
          <w:caps w:val="0"/>
          <w:color w:val="auto"/>
        </w:rPr>
        <w:tab/>
      </w:r>
      <w:r>
        <w:rPr>
          <w:rStyle w:val="35"/>
          <w:rFonts w:hint="eastAsia" w:asciiTheme="majorEastAsia" w:hAnsiTheme="majorEastAsia" w:eastAsiaTheme="majorEastAsia"/>
          <w:caps w:val="0"/>
          <w:color w:val="auto"/>
        </w:rPr>
        <w:t>7</w:t>
      </w:r>
      <w:r>
        <w:rPr>
          <w:rStyle w:val="35"/>
          <w:rFonts w:hint="eastAsia" w:asciiTheme="majorEastAsia" w:hAnsiTheme="majorEastAsia" w:eastAsiaTheme="majorEastAsia"/>
          <w:caps w:val="0"/>
          <w:color w:val="auto"/>
        </w:rPr>
        <w:fldChar w:fldCharType="end"/>
      </w:r>
    </w:p>
    <w:p>
      <w:pPr>
        <w:pStyle w:val="19"/>
        <w:tabs>
          <w:tab w:val="right" w:leader="dot" w:pos="9628"/>
        </w:tabs>
        <w:rPr>
          <w:rStyle w:val="35"/>
          <w:rFonts w:hint="eastAsia" w:asciiTheme="majorEastAsia" w:hAnsiTheme="majorEastAsia" w:eastAsiaTheme="majorEastAsia"/>
          <w:caps w:val="0"/>
          <w:color w:val="auto"/>
        </w:rPr>
      </w:pPr>
      <w:r>
        <w:fldChar w:fldCharType="begin"/>
      </w:r>
      <w:r>
        <w:instrText xml:space="preserve"> HYPERLINK \l "_Toc519678420" </w:instrText>
      </w:r>
      <w:r>
        <w:fldChar w:fldCharType="separate"/>
      </w:r>
      <w:r>
        <w:rPr>
          <w:rStyle w:val="35"/>
          <w:rFonts w:hint="eastAsia" w:asciiTheme="majorEastAsia" w:hAnsiTheme="majorEastAsia" w:eastAsiaTheme="majorEastAsia"/>
          <w:caps w:val="0"/>
          <w:color w:val="auto"/>
        </w:rPr>
        <w:t>第四章</w:t>
      </w:r>
      <w:r>
        <w:rPr>
          <w:rStyle w:val="35"/>
          <w:rFonts w:asciiTheme="majorEastAsia" w:hAnsiTheme="majorEastAsia" w:eastAsiaTheme="majorEastAsia"/>
          <w:caps w:val="0"/>
          <w:color w:val="auto"/>
        </w:rPr>
        <w:t xml:space="preserve">  </w:t>
      </w:r>
      <w:r>
        <w:rPr>
          <w:rStyle w:val="35"/>
          <w:rFonts w:hint="eastAsia" w:asciiTheme="majorEastAsia" w:hAnsiTheme="majorEastAsia" w:eastAsiaTheme="majorEastAsia"/>
          <w:caps w:val="0"/>
          <w:color w:val="auto"/>
        </w:rPr>
        <w:t>文件格式</w:t>
      </w:r>
      <w:r>
        <w:rPr>
          <w:rStyle w:val="35"/>
          <w:rFonts w:asciiTheme="majorEastAsia" w:hAnsiTheme="majorEastAsia" w:eastAsiaTheme="majorEastAsia"/>
          <w:caps w:val="0"/>
          <w:color w:val="auto"/>
        </w:rPr>
        <w:tab/>
      </w:r>
      <w:r>
        <w:rPr>
          <w:rStyle w:val="35"/>
          <w:rFonts w:asciiTheme="majorEastAsia" w:hAnsiTheme="majorEastAsia" w:eastAsiaTheme="majorEastAsia"/>
          <w:caps w:val="0"/>
          <w:color w:val="auto"/>
        </w:rPr>
        <w:fldChar w:fldCharType="begin"/>
      </w:r>
      <w:r>
        <w:rPr>
          <w:rStyle w:val="35"/>
          <w:rFonts w:asciiTheme="majorEastAsia" w:hAnsiTheme="majorEastAsia" w:eastAsiaTheme="majorEastAsia"/>
          <w:caps w:val="0"/>
          <w:color w:val="auto"/>
        </w:rPr>
        <w:instrText xml:space="preserve"> PAGEREF _Toc519678420 \h </w:instrText>
      </w:r>
      <w:r>
        <w:rPr>
          <w:rStyle w:val="35"/>
          <w:rFonts w:asciiTheme="majorEastAsia" w:hAnsiTheme="majorEastAsia" w:eastAsiaTheme="majorEastAsia"/>
          <w:caps w:val="0"/>
          <w:color w:val="auto"/>
        </w:rPr>
        <w:fldChar w:fldCharType="separate"/>
      </w:r>
      <w:r>
        <w:rPr>
          <w:rStyle w:val="35"/>
          <w:rFonts w:asciiTheme="majorEastAsia" w:hAnsiTheme="majorEastAsia" w:eastAsiaTheme="majorEastAsia"/>
          <w:caps w:val="0"/>
          <w:color w:val="auto"/>
        </w:rPr>
        <w:t>1</w:t>
      </w:r>
      <w:r>
        <w:rPr>
          <w:rStyle w:val="35"/>
          <w:rFonts w:asciiTheme="majorEastAsia" w:hAnsiTheme="majorEastAsia" w:eastAsiaTheme="majorEastAsia"/>
          <w:caps w:val="0"/>
          <w:color w:val="auto"/>
        </w:rPr>
        <w:fldChar w:fldCharType="end"/>
      </w:r>
      <w:r>
        <w:rPr>
          <w:rStyle w:val="35"/>
          <w:rFonts w:asciiTheme="majorEastAsia" w:hAnsiTheme="majorEastAsia" w:eastAsiaTheme="majorEastAsia"/>
          <w:caps w:val="0"/>
          <w:color w:val="auto"/>
        </w:rPr>
        <w:fldChar w:fldCharType="end"/>
      </w:r>
    </w:p>
    <w:p>
      <w:pPr>
        <w:pStyle w:val="19"/>
        <w:tabs>
          <w:tab w:val="right" w:leader="dot" w:pos="9628"/>
        </w:tabs>
        <w:rPr>
          <w:rStyle w:val="35"/>
          <w:caps w:val="0"/>
          <w:color w:val="auto"/>
        </w:rPr>
      </w:pPr>
      <w:r>
        <w:fldChar w:fldCharType="begin"/>
      </w:r>
      <w:r>
        <w:instrText xml:space="preserve"> HYPERLINK \l "_Toc519678421" </w:instrText>
      </w:r>
      <w:r>
        <w:fldChar w:fldCharType="separate"/>
      </w:r>
      <w:r>
        <w:rPr>
          <w:rStyle w:val="35"/>
          <w:rFonts w:hint="eastAsia" w:asciiTheme="majorEastAsia" w:hAnsiTheme="majorEastAsia" w:eastAsiaTheme="majorEastAsia"/>
          <w:caps w:val="0"/>
          <w:color w:val="auto"/>
        </w:rPr>
        <w:t>第五章</w:t>
      </w:r>
      <w:r>
        <w:rPr>
          <w:rStyle w:val="35"/>
          <w:rFonts w:asciiTheme="majorEastAsia" w:hAnsiTheme="majorEastAsia" w:eastAsiaTheme="majorEastAsia"/>
          <w:caps w:val="0"/>
          <w:color w:val="auto"/>
        </w:rPr>
        <w:t xml:space="preserve">  </w:t>
      </w:r>
      <w:r>
        <w:rPr>
          <w:rStyle w:val="35"/>
          <w:rFonts w:hint="eastAsia" w:asciiTheme="majorEastAsia" w:hAnsiTheme="majorEastAsia" w:eastAsiaTheme="majorEastAsia"/>
          <w:caps w:val="0"/>
          <w:color w:val="auto"/>
        </w:rPr>
        <w:t>合同条款及格式</w:t>
      </w:r>
      <w:r>
        <w:rPr>
          <w:rStyle w:val="35"/>
          <w:rFonts w:asciiTheme="majorEastAsia" w:hAnsiTheme="majorEastAsia" w:eastAsiaTheme="majorEastAsia"/>
          <w:caps w:val="0"/>
          <w:color w:val="auto"/>
        </w:rPr>
        <w:tab/>
      </w:r>
      <w:r>
        <w:rPr>
          <w:rStyle w:val="35"/>
          <w:rFonts w:asciiTheme="majorEastAsia" w:hAnsiTheme="majorEastAsia" w:eastAsiaTheme="majorEastAsia"/>
          <w:caps w:val="0"/>
          <w:color w:val="auto"/>
        </w:rPr>
        <w:fldChar w:fldCharType="begin"/>
      </w:r>
      <w:r>
        <w:rPr>
          <w:rStyle w:val="35"/>
          <w:rFonts w:asciiTheme="majorEastAsia" w:hAnsiTheme="majorEastAsia" w:eastAsiaTheme="majorEastAsia"/>
          <w:caps w:val="0"/>
          <w:color w:val="auto"/>
        </w:rPr>
        <w:instrText xml:space="preserve"> PAGEREF _Toc519678421 \h </w:instrText>
      </w:r>
      <w:r>
        <w:rPr>
          <w:rStyle w:val="35"/>
          <w:rFonts w:asciiTheme="majorEastAsia" w:hAnsiTheme="majorEastAsia" w:eastAsiaTheme="majorEastAsia"/>
          <w:caps w:val="0"/>
          <w:color w:val="auto"/>
        </w:rPr>
        <w:fldChar w:fldCharType="separate"/>
      </w:r>
      <w:r>
        <w:rPr>
          <w:rStyle w:val="35"/>
          <w:rFonts w:asciiTheme="majorEastAsia" w:hAnsiTheme="majorEastAsia" w:eastAsiaTheme="majorEastAsia"/>
          <w:caps w:val="0"/>
          <w:color w:val="auto"/>
        </w:rPr>
        <w:t>9</w:t>
      </w:r>
      <w:r>
        <w:rPr>
          <w:rStyle w:val="35"/>
          <w:rFonts w:asciiTheme="majorEastAsia" w:hAnsiTheme="majorEastAsia" w:eastAsiaTheme="majorEastAsia"/>
          <w:caps w:val="0"/>
          <w:color w:val="auto"/>
        </w:rPr>
        <w:fldChar w:fldCharType="end"/>
      </w:r>
      <w:r>
        <w:rPr>
          <w:rStyle w:val="35"/>
          <w:rFonts w:asciiTheme="majorEastAsia" w:hAnsiTheme="majorEastAsia" w:eastAsiaTheme="majorEastAsia"/>
          <w:caps w:val="0"/>
          <w:color w:val="auto"/>
        </w:rPr>
        <w:fldChar w:fldCharType="end"/>
      </w:r>
    </w:p>
    <w:p>
      <w:pPr>
        <w:pStyle w:val="19"/>
        <w:tabs>
          <w:tab w:val="right" w:leader="dot" w:pos="9628"/>
        </w:tabs>
        <w:rPr>
          <w:rFonts w:hint="eastAsia" w:hAnsi="宋体"/>
          <w:b w:val="0"/>
          <w:bCs w:val="0"/>
          <w:sz w:val="28"/>
          <w:szCs w:val="28"/>
        </w:rPr>
      </w:pPr>
      <w:r>
        <w:rPr>
          <w:rStyle w:val="35"/>
          <w:caps w:val="0"/>
          <w:color w:val="auto"/>
        </w:rPr>
        <w:fldChar w:fldCharType="end"/>
      </w:r>
      <w:bookmarkStart w:id="5" w:name="_Toc213325920"/>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jc w:val="center"/>
        <w:rPr>
          <w:rFonts w:hint="eastAsia" w:hAnsi="宋体"/>
          <w:b/>
          <w:bCs/>
          <w:sz w:val="28"/>
          <w:szCs w:val="28"/>
        </w:rPr>
      </w:pPr>
    </w:p>
    <w:p>
      <w:pPr>
        <w:pStyle w:val="13"/>
        <w:spacing w:line="560" w:lineRule="exact"/>
        <w:contextualSpacing/>
        <w:jc w:val="center"/>
        <w:rPr>
          <w:rFonts w:hint="eastAsia" w:hAnsi="宋体" w:cs="Arial"/>
          <w:b/>
          <w:bCs/>
          <w:sz w:val="24"/>
        </w:rPr>
      </w:pPr>
      <w:r>
        <w:rPr>
          <w:rFonts w:hAnsi="宋体"/>
          <w:b/>
          <w:bCs/>
          <w:sz w:val="28"/>
          <w:szCs w:val="28"/>
        </w:rPr>
        <w:br w:type="page"/>
      </w:r>
      <w:bookmarkEnd w:id="0"/>
      <w:bookmarkEnd w:id="1"/>
      <w:bookmarkEnd w:id="2"/>
      <w:bookmarkEnd w:id="5"/>
      <w:bookmarkStart w:id="6" w:name="_Toc519678417"/>
      <w:r>
        <w:rPr>
          <w:rFonts w:hint="eastAsia" w:ascii="Times New Roman" w:hAnsi="Times New Roman" w:eastAsia="方正小标宋简体"/>
          <w:bCs/>
          <w:sz w:val="44"/>
          <w:szCs w:val="44"/>
        </w:rPr>
        <w:t>第一章 公开询价比选邀请函</w:t>
      </w:r>
      <w:bookmarkEnd w:id="6"/>
    </w:p>
    <w:p>
      <w:pPr>
        <w:pStyle w:val="67"/>
        <w:widowControl w:val="0"/>
        <w:spacing w:afterLines="0" w:line="340" w:lineRule="exact"/>
        <w:ind w:firstLine="0" w:firstLineChars="0"/>
      </w:pPr>
      <w:bookmarkStart w:id="7" w:name="_Toc213325921"/>
      <w:bookmarkStart w:id="8" w:name="_Toc139966431"/>
      <w:bookmarkStart w:id="9" w:name="_Toc139967215"/>
      <w:bookmarkStart w:id="10" w:name="_Toc213206172"/>
    </w:p>
    <w:p>
      <w:pPr>
        <w:pStyle w:val="67"/>
        <w:widowControl w:val="0"/>
        <w:spacing w:afterLines="0" w:line="560" w:lineRule="exact"/>
        <w:ind w:firstLine="640"/>
        <w:contextualSpacing/>
        <w:rPr>
          <w:rFonts w:eastAsia="仿宋_GB2312"/>
          <w:sz w:val="32"/>
          <w:szCs w:val="32"/>
        </w:rPr>
      </w:pPr>
      <w:r>
        <w:rPr>
          <w:rFonts w:hint="eastAsia" w:eastAsia="仿宋_GB2312"/>
          <w:sz w:val="32"/>
          <w:szCs w:val="32"/>
        </w:rPr>
        <w:t>我司拟对小金碗高速灌封机采购项目进行公开询价比选邀请，</w:t>
      </w:r>
      <w:r>
        <w:rPr>
          <w:rFonts w:eastAsia="仿宋_GB2312"/>
          <w:sz w:val="32"/>
          <w:szCs w:val="32"/>
        </w:rPr>
        <w:t>现诚邀贵公司就本项目提供报价及初步方案，便于我公司比选确定合作单位，请贵公司收到此函后及时回复是否参与报价比选。</w:t>
      </w:r>
    </w:p>
    <w:p>
      <w:pPr>
        <w:snapToGrid w:val="0"/>
        <w:spacing w:line="560" w:lineRule="exact"/>
        <w:ind w:firstLine="640" w:firstLineChars="200"/>
        <w:contextualSpacing/>
        <w:rPr>
          <w:rFonts w:eastAsia="黑体"/>
          <w:sz w:val="32"/>
          <w:szCs w:val="32"/>
        </w:rPr>
      </w:pPr>
      <w:r>
        <w:rPr>
          <w:rFonts w:eastAsia="黑体"/>
          <w:sz w:val="32"/>
          <w:szCs w:val="32"/>
        </w:rPr>
        <w:t>一、项目名称</w:t>
      </w:r>
    </w:p>
    <w:p>
      <w:pPr>
        <w:snapToGrid w:val="0"/>
        <w:spacing w:line="560" w:lineRule="exact"/>
        <w:ind w:firstLine="640" w:firstLineChars="200"/>
        <w:contextualSpacing/>
        <w:rPr>
          <w:rFonts w:eastAsia="仿宋_GB2312"/>
          <w:sz w:val="32"/>
          <w:szCs w:val="32"/>
        </w:rPr>
      </w:pPr>
      <w:r>
        <w:rPr>
          <w:rFonts w:hint="eastAsia" w:eastAsia="仿宋_GB2312"/>
          <w:sz w:val="32"/>
          <w:szCs w:val="32"/>
        </w:rPr>
        <w:t>小金碗高速灌封机采购（编号：SQ-202503）项目</w:t>
      </w:r>
    </w:p>
    <w:p>
      <w:pPr>
        <w:snapToGrid w:val="0"/>
        <w:spacing w:line="560" w:lineRule="exact"/>
        <w:ind w:firstLine="640" w:firstLineChars="200"/>
        <w:contextualSpacing/>
        <w:rPr>
          <w:rFonts w:hint="eastAsia" w:ascii="黑体" w:hAnsi="黑体" w:eastAsia="黑体"/>
          <w:bCs/>
          <w:sz w:val="32"/>
          <w:szCs w:val="32"/>
        </w:rPr>
      </w:pPr>
      <w:r>
        <w:rPr>
          <w:rFonts w:ascii="黑体" w:hAnsi="黑体" w:eastAsia="黑体"/>
          <w:bCs/>
          <w:sz w:val="32"/>
          <w:szCs w:val="32"/>
        </w:rPr>
        <w:t>二、采购内容</w:t>
      </w:r>
    </w:p>
    <w:p>
      <w:pPr>
        <w:snapToGrid w:val="0"/>
        <w:spacing w:line="560" w:lineRule="exact"/>
        <w:ind w:firstLine="640" w:firstLineChars="200"/>
        <w:contextualSpacing/>
        <w:rPr>
          <w:rFonts w:hint="eastAsia" w:ascii="仿宋_GB2312" w:hAnsi="黑体" w:eastAsia="仿宋_GB2312"/>
          <w:bCs/>
          <w:sz w:val="32"/>
          <w:szCs w:val="32"/>
        </w:rPr>
      </w:pPr>
      <w:r>
        <w:rPr>
          <w:rFonts w:hint="eastAsia" w:ascii="仿宋_GB2312" w:hAnsi="黑体" w:eastAsia="仿宋_GB2312"/>
          <w:bCs/>
          <w:sz w:val="32"/>
          <w:szCs w:val="32"/>
        </w:rPr>
        <w:t xml:space="preserve">根据广西双钱健康产业股份有限公司的生产要求，拟采购小金碗高速灌封机采购1套。设备关键技术参数如下： </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1.</w:t>
      </w:r>
      <w:r>
        <w:rPr>
          <w:rFonts w:hint="eastAsia" w:ascii="仿宋_GB2312" w:hAnsi="黑体" w:eastAsia="仿宋_GB2312"/>
          <w:bCs/>
          <w:sz w:val="32"/>
          <w:szCs w:val="32"/>
        </w:rPr>
        <w:t>设备用于小金碗产品生产，具备自动洗碗、自动拆碗落碗及自动产品灌装封口功能，整体生产速度不低于</w:t>
      </w:r>
      <w:r>
        <w:rPr>
          <w:rFonts w:hint="eastAsia" w:eastAsia="仿宋_GB2312"/>
          <w:sz w:val="32"/>
          <w:szCs w:val="32"/>
        </w:rPr>
        <w:t>100</w:t>
      </w:r>
      <w:r>
        <w:rPr>
          <w:rFonts w:hint="eastAsia" w:ascii="仿宋_GB2312" w:hAnsi="黑体" w:eastAsia="仿宋_GB2312"/>
          <w:bCs/>
          <w:sz w:val="32"/>
          <w:szCs w:val="32"/>
        </w:rPr>
        <w:t>碗</w:t>
      </w:r>
      <w:r>
        <w:rPr>
          <w:rFonts w:hint="eastAsia" w:eastAsia="仿宋_GB2312"/>
          <w:sz w:val="32"/>
          <w:szCs w:val="32"/>
        </w:rPr>
        <w:t>/min</w:t>
      </w:r>
      <w:r>
        <w:rPr>
          <w:rFonts w:hint="eastAsia" w:ascii="仿宋_GB2312" w:hAnsi="黑体" w:eastAsia="仿宋_GB2312"/>
          <w:bCs/>
          <w:sz w:val="32"/>
          <w:szCs w:val="32"/>
        </w:rPr>
        <w:t>，灌装精度在</w:t>
      </w:r>
      <m:oMath>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220</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+5</m:t>
            </m:r>
            <m:ctrlPr>
              <w:rPr>
                <w:rFonts w:hint="eastAsia" w:ascii="Cambria Math" w:hAnsi="Cambria Math" w:eastAsia="仿宋_GB2312"/>
                <w:sz w:val="32"/>
                <w:szCs w:val="32"/>
              </w:rPr>
            </m:ctrlPr>
          </m:sup>
        </m:sSubSup>
      </m:oMath>
      <w:r>
        <w:rPr>
          <w:rFonts w:hint="eastAsia" w:eastAsia="仿宋_GB2312"/>
          <w:sz w:val="32"/>
          <w:szCs w:val="32"/>
        </w:rPr>
        <w:t>g</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2.</w:t>
      </w:r>
      <w:r>
        <w:rPr>
          <w:rFonts w:hint="eastAsia" w:ascii="仿宋_GB2312" w:hAnsi="黑体" w:eastAsia="仿宋_GB2312"/>
          <w:bCs/>
          <w:sz w:val="32"/>
          <w:szCs w:val="32"/>
        </w:rPr>
        <w:t>设备尺寸（主机）：长度</w:t>
      </w:r>
      <w:r>
        <w:rPr>
          <w:rFonts w:hint="eastAsia" w:eastAsia="仿宋_GB2312"/>
          <w:sz w:val="32"/>
          <w:szCs w:val="32"/>
        </w:rPr>
        <w:t>≤4m</w:t>
      </w:r>
      <w:r>
        <w:rPr>
          <w:rFonts w:hint="eastAsia" w:ascii="仿宋_GB2312" w:hAnsi="黑体" w:eastAsia="仿宋_GB2312"/>
          <w:bCs/>
          <w:sz w:val="32"/>
          <w:szCs w:val="32"/>
        </w:rPr>
        <w:t>，宽度≤</w:t>
      </w:r>
      <w:r>
        <w:rPr>
          <w:rFonts w:hint="eastAsia" w:eastAsia="仿宋_GB2312"/>
          <w:sz w:val="32"/>
          <w:szCs w:val="32"/>
        </w:rPr>
        <w:t>2m</w:t>
      </w:r>
      <w:r>
        <w:rPr>
          <w:rFonts w:hint="eastAsia" w:ascii="仿宋_GB2312" w:hAnsi="黑体" w:eastAsia="仿宋_GB2312"/>
          <w:bCs/>
          <w:sz w:val="32"/>
          <w:szCs w:val="32"/>
        </w:rPr>
        <w:t>，高度≤</w:t>
      </w:r>
      <w:r>
        <w:rPr>
          <w:rFonts w:hint="eastAsia" w:eastAsia="仿宋_GB2312"/>
          <w:sz w:val="32"/>
          <w:szCs w:val="32"/>
        </w:rPr>
        <w:t>2.5m</w:t>
      </w:r>
      <w:r>
        <w:rPr>
          <w:rFonts w:hint="eastAsia" w:ascii="仿宋_GB2312" w:hAnsi="黑体" w:eastAsia="仿宋_GB2312"/>
          <w:bCs/>
          <w:sz w:val="32"/>
          <w:szCs w:val="32"/>
        </w:rPr>
        <w:t>。</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3.</w:t>
      </w:r>
      <w:r>
        <w:rPr>
          <w:rFonts w:hint="eastAsia" w:ascii="仿宋_GB2312" w:hAnsi="黑体" w:eastAsia="仿宋_GB2312"/>
          <w:bCs/>
          <w:sz w:val="32"/>
          <w:szCs w:val="32"/>
        </w:rPr>
        <w:t>小金碗尺寸：</w:t>
      </w:r>
      <w:r>
        <w:rPr>
          <w:rFonts w:hint="eastAsia" w:eastAsia="仿宋_GB2312"/>
          <w:sz w:val="32"/>
          <w:szCs w:val="32"/>
        </w:rPr>
        <w:t>950#</w:t>
      </w:r>
      <w:r>
        <w:rPr>
          <w:rFonts w:hint="eastAsia" w:ascii="仿宋_GB2312" w:hAnsi="黑体" w:eastAsia="仿宋_GB2312"/>
          <w:bCs/>
          <w:sz w:val="32"/>
          <w:szCs w:val="32"/>
        </w:rPr>
        <w:t>铝碗（铝材合金），碗口最大外径：</w:t>
      </w:r>
      <w:r>
        <w:rPr>
          <w:rFonts w:hint="eastAsia" w:eastAsia="仿宋_GB2312"/>
          <w:sz w:val="32"/>
          <w:szCs w:val="32"/>
        </w:rPr>
        <w:t>105±0.2 mm</w:t>
      </w:r>
      <w:r>
        <w:rPr>
          <w:rFonts w:hint="eastAsia" w:ascii="仿宋_GB2312" w:hAnsi="黑体" w:eastAsia="仿宋_GB2312"/>
          <w:bCs/>
          <w:sz w:val="32"/>
          <w:szCs w:val="32"/>
        </w:rPr>
        <w:t>，碗口内径：</w:t>
      </w:r>
      <w:r>
        <w:rPr>
          <w:rFonts w:hint="eastAsia" w:eastAsia="仿宋_GB2312"/>
          <w:sz w:val="32"/>
          <w:szCs w:val="32"/>
        </w:rPr>
        <w:t>99±0.2 mm</w:t>
      </w:r>
      <w:r>
        <w:rPr>
          <w:rFonts w:hint="eastAsia" w:ascii="仿宋_GB2312" w:hAnsi="黑体" w:eastAsia="仿宋_GB2312"/>
          <w:bCs/>
          <w:sz w:val="32"/>
          <w:szCs w:val="32"/>
        </w:rPr>
        <w:t>，封口翻边宽度：</w:t>
      </w:r>
      <w:r>
        <w:rPr>
          <w:rFonts w:hint="eastAsia" w:eastAsia="仿宋_GB2312"/>
          <w:sz w:val="32"/>
          <w:szCs w:val="32"/>
        </w:rPr>
        <w:t>3.0±0.2 mm</w:t>
      </w:r>
      <w:r>
        <w:rPr>
          <w:rFonts w:hint="eastAsia" w:ascii="仿宋_GB2312" w:hAnsi="黑体" w:eastAsia="仿宋_GB2312"/>
          <w:bCs/>
          <w:sz w:val="32"/>
          <w:szCs w:val="32"/>
        </w:rPr>
        <w:t>，碗底外径：</w:t>
      </w:r>
      <w:r>
        <w:rPr>
          <w:rFonts w:hint="eastAsia" w:eastAsia="仿宋_GB2312"/>
          <w:sz w:val="32"/>
          <w:szCs w:val="32"/>
        </w:rPr>
        <w:t>66±0.2 mm</w:t>
      </w:r>
      <w:r>
        <w:rPr>
          <w:rFonts w:hint="eastAsia" w:ascii="仿宋_GB2312" w:hAnsi="黑体" w:eastAsia="仿宋_GB2312"/>
          <w:bCs/>
          <w:sz w:val="32"/>
          <w:szCs w:val="32"/>
        </w:rPr>
        <w:t>，空碗总高：</w:t>
      </w:r>
      <w:r>
        <w:rPr>
          <w:rFonts w:hint="eastAsia" w:eastAsia="仿宋_GB2312"/>
          <w:sz w:val="32"/>
          <w:szCs w:val="32"/>
        </w:rPr>
        <w:t>50±0.2 mm</w:t>
      </w:r>
      <w:r>
        <w:rPr>
          <w:rFonts w:hint="eastAsia" w:ascii="仿宋_GB2312" w:hAnsi="黑体" w:eastAsia="仿宋_GB2312"/>
          <w:bCs/>
          <w:sz w:val="32"/>
          <w:szCs w:val="32"/>
        </w:rPr>
        <w:t>，重量：</w:t>
      </w:r>
      <w:r>
        <w:rPr>
          <w:rFonts w:hint="eastAsia" w:eastAsia="仿宋_GB2312"/>
          <w:sz w:val="32"/>
          <w:szCs w:val="32"/>
        </w:rPr>
        <w:t>11±0.8 g</w:t>
      </w:r>
      <w:r>
        <w:rPr>
          <w:rFonts w:hint="eastAsia" w:ascii="仿宋_GB2312" w:hAnsi="黑体" w:eastAsia="仿宋_GB2312"/>
          <w:bCs/>
          <w:sz w:val="32"/>
          <w:szCs w:val="32"/>
        </w:rPr>
        <w:t>，满口装量：</w:t>
      </w:r>
      <w:r>
        <w:rPr>
          <w:rFonts w:hint="eastAsia" w:eastAsia="仿宋_GB2312"/>
          <w:sz w:val="32"/>
          <w:szCs w:val="32"/>
        </w:rPr>
        <w:t>280g±5g</w:t>
      </w:r>
      <w:r>
        <w:rPr>
          <w:rFonts w:hint="eastAsia" w:ascii="仿宋_GB2312" w:hAnsi="黑体" w:eastAsia="仿宋_GB2312"/>
          <w:bCs/>
          <w:sz w:val="32"/>
          <w:szCs w:val="32"/>
        </w:rPr>
        <w:t>。</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4.</w:t>
      </w:r>
      <w:r>
        <w:rPr>
          <w:rFonts w:hint="eastAsia" w:ascii="仿宋_GB2312" w:hAnsi="黑体" w:eastAsia="仿宋_GB2312"/>
          <w:bCs/>
          <w:sz w:val="32"/>
          <w:szCs w:val="32"/>
        </w:rPr>
        <w:t>小金碗材质：铝材合金；碗身内涂为单涂层，材料为调色环氧树脂。</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5.</w:t>
      </w:r>
      <w:r>
        <w:rPr>
          <w:rFonts w:hint="eastAsia" w:ascii="仿宋_GB2312" w:hAnsi="黑体" w:eastAsia="仿宋_GB2312"/>
          <w:bCs/>
          <w:sz w:val="32"/>
          <w:szCs w:val="32"/>
        </w:rPr>
        <w:t>小金碗面盖尺寸：见附件</w:t>
      </w:r>
      <w:r>
        <w:rPr>
          <w:rFonts w:hint="eastAsia" w:eastAsia="仿宋_GB2312"/>
          <w:sz w:val="32"/>
          <w:szCs w:val="32"/>
        </w:rPr>
        <w:t>1</w:t>
      </w:r>
      <w:r>
        <w:rPr>
          <w:rFonts w:hint="eastAsia" w:ascii="仿宋_GB2312" w:hAnsi="黑体" w:eastAsia="仿宋_GB2312"/>
          <w:bCs/>
          <w:sz w:val="32"/>
          <w:szCs w:val="32"/>
        </w:rPr>
        <w:t>。</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6.</w:t>
      </w:r>
      <w:r>
        <w:rPr>
          <w:rFonts w:hint="eastAsia" w:ascii="仿宋_GB2312" w:hAnsi="黑体" w:eastAsia="仿宋_GB2312"/>
          <w:bCs/>
          <w:sz w:val="32"/>
          <w:szCs w:val="32"/>
        </w:rPr>
        <w:t>小金碗面盖材质：盖圈：铝</w:t>
      </w:r>
      <w:r>
        <w:rPr>
          <w:rFonts w:hint="eastAsia" w:eastAsia="仿宋_GB2312"/>
          <w:sz w:val="32"/>
          <w:szCs w:val="32"/>
        </w:rPr>
        <w:t>0.22-0.23mm</w:t>
      </w:r>
      <w:r>
        <w:rPr>
          <w:rFonts w:hint="eastAsia" w:ascii="仿宋_GB2312" w:hAnsi="黑体" w:eastAsia="仿宋_GB2312"/>
          <w:bCs/>
          <w:sz w:val="32"/>
          <w:szCs w:val="32"/>
        </w:rPr>
        <w:t>，铝箔：</w:t>
      </w:r>
      <w:r>
        <w:rPr>
          <w:rFonts w:hint="eastAsia" w:eastAsia="仿宋_GB2312"/>
          <w:sz w:val="32"/>
          <w:szCs w:val="32"/>
        </w:rPr>
        <w:t>AL/PA/PE</w:t>
      </w:r>
      <w:r>
        <w:rPr>
          <w:rFonts w:hint="eastAsia" w:ascii="仿宋_GB2312" w:hAnsi="黑体" w:eastAsia="仿宋_GB2312"/>
          <w:bCs/>
          <w:sz w:val="32"/>
          <w:szCs w:val="32"/>
        </w:rPr>
        <w:t>。</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7.</w:t>
      </w:r>
      <w:r>
        <w:rPr>
          <w:rFonts w:hint="eastAsia" w:ascii="仿宋_GB2312" w:hAnsi="黑体" w:eastAsia="仿宋_GB2312"/>
          <w:bCs/>
          <w:sz w:val="32"/>
          <w:szCs w:val="32"/>
        </w:rPr>
        <w:t>小金碗封口质量要求：需符合 GB/T 14251《罐头食品金属容器通用技术要求》，卷边宽度</w:t>
      </w:r>
      <w:r>
        <w:rPr>
          <w:rFonts w:hint="eastAsia" w:eastAsia="仿宋_GB2312"/>
          <w:sz w:val="32"/>
          <w:szCs w:val="32"/>
        </w:rPr>
        <w:t>（W）：2.70-3.00mm</w:t>
      </w:r>
      <w:r>
        <w:rPr>
          <w:rFonts w:hint="eastAsia" w:ascii="仿宋_GB2312" w:hAnsi="黑体" w:eastAsia="仿宋_GB2312"/>
          <w:bCs/>
          <w:sz w:val="32"/>
          <w:szCs w:val="32"/>
        </w:rPr>
        <w:t>，卷边厚度</w:t>
      </w:r>
      <w:r>
        <w:rPr>
          <w:rFonts w:hint="eastAsia" w:eastAsia="仿宋_GB2312"/>
          <w:sz w:val="32"/>
          <w:szCs w:val="32"/>
        </w:rPr>
        <w:t>（T）：1.30-1.50mm</w:t>
      </w:r>
      <w:r>
        <w:rPr>
          <w:rFonts w:hint="eastAsia" w:ascii="仿宋_GB2312" w:hAnsi="黑体" w:eastAsia="仿宋_GB2312"/>
          <w:bCs/>
          <w:sz w:val="32"/>
          <w:szCs w:val="32"/>
        </w:rPr>
        <w:t>，身钩</w:t>
      </w:r>
      <w:r>
        <w:rPr>
          <w:rFonts w:hint="eastAsia" w:eastAsia="仿宋_GB2312"/>
          <w:sz w:val="32"/>
          <w:szCs w:val="32"/>
        </w:rPr>
        <w:t>（BH）：1.80-2.20 mm</w:t>
      </w:r>
      <w:r>
        <w:rPr>
          <w:rFonts w:hint="eastAsia" w:ascii="仿宋_GB2312" w:hAnsi="黑体" w:eastAsia="仿宋_GB2312"/>
          <w:bCs/>
          <w:sz w:val="32"/>
          <w:szCs w:val="32"/>
        </w:rPr>
        <w:t>，盖钩</w:t>
      </w:r>
      <w:r>
        <w:rPr>
          <w:rFonts w:hint="eastAsia" w:eastAsia="仿宋_GB2312"/>
          <w:sz w:val="32"/>
          <w:szCs w:val="32"/>
        </w:rPr>
        <w:t>（CH）</w:t>
      </w:r>
      <w:r>
        <w:rPr>
          <w:rFonts w:hint="eastAsia" w:ascii="仿宋_GB2312" w:hAnsi="黑体" w:eastAsia="仿宋_GB2312"/>
          <w:bCs/>
          <w:sz w:val="32"/>
          <w:szCs w:val="32"/>
        </w:rPr>
        <w:t>：</w:t>
      </w:r>
      <w:r>
        <w:rPr>
          <w:rFonts w:hint="eastAsia" w:eastAsia="仿宋_GB2312"/>
          <w:sz w:val="32"/>
          <w:szCs w:val="32"/>
        </w:rPr>
        <w:t>1.70-2.10 mm</w:t>
      </w:r>
      <w:r>
        <w:rPr>
          <w:rFonts w:hint="eastAsia" w:ascii="仿宋_GB2312" w:hAnsi="黑体" w:eastAsia="仿宋_GB2312"/>
          <w:bCs/>
          <w:sz w:val="32"/>
          <w:szCs w:val="32"/>
        </w:rPr>
        <w:t>，叠接长度</w:t>
      </w:r>
      <w:r>
        <w:rPr>
          <w:rFonts w:hint="eastAsia" w:eastAsia="仿宋_GB2312"/>
          <w:sz w:val="32"/>
          <w:szCs w:val="32"/>
        </w:rPr>
        <w:t>（OL）：≥1.00 mm</w:t>
      </w:r>
      <w:r>
        <w:rPr>
          <w:rFonts w:hint="eastAsia" w:ascii="仿宋_GB2312" w:hAnsi="黑体" w:eastAsia="仿宋_GB2312"/>
          <w:bCs/>
          <w:sz w:val="32"/>
          <w:szCs w:val="32"/>
        </w:rPr>
        <w:t>，叠接率</w:t>
      </w:r>
      <w:r>
        <w:rPr>
          <w:rFonts w:hint="eastAsia" w:eastAsia="仿宋_GB2312"/>
          <w:sz w:val="32"/>
          <w:szCs w:val="32"/>
        </w:rPr>
        <w:t>（OL）：≥55%</w:t>
      </w:r>
      <w:r>
        <w:rPr>
          <w:rFonts w:hint="eastAsia" w:ascii="仿宋_GB2312" w:hAnsi="黑体" w:eastAsia="仿宋_GB2312"/>
          <w:bCs/>
          <w:sz w:val="32"/>
          <w:szCs w:val="32"/>
        </w:rPr>
        <w:t>，紧密度</w:t>
      </w:r>
      <w:r>
        <w:rPr>
          <w:rFonts w:hint="eastAsia" w:eastAsia="仿宋_GB2312"/>
          <w:sz w:val="32"/>
          <w:szCs w:val="32"/>
        </w:rPr>
        <w:t>（TR）：≥80%</w:t>
      </w:r>
      <w:r>
        <w:rPr>
          <w:rFonts w:hint="eastAsia" w:ascii="仿宋_GB2312" w:hAnsi="黑体" w:eastAsia="仿宋_GB2312"/>
          <w:bCs/>
          <w:sz w:val="32"/>
          <w:szCs w:val="32"/>
        </w:rPr>
        <w:t>，身钩卷入率</w:t>
      </w:r>
      <w:r>
        <w:rPr>
          <w:rFonts w:hint="eastAsia" w:eastAsia="仿宋_GB2312"/>
          <w:sz w:val="32"/>
          <w:szCs w:val="32"/>
        </w:rPr>
        <w:t>（BHB）</w:t>
      </w:r>
      <w:r>
        <w:rPr>
          <w:rFonts w:hint="eastAsia" w:ascii="仿宋_GB2312" w:hAnsi="黑体" w:eastAsia="仿宋_GB2312"/>
          <w:bCs/>
          <w:sz w:val="32"/>
          <w:szCs w:val="32"/>
        </w:rPr>
        <w:t>、盖钩卷入率</w:t>
      </w:r>
      <w:r>
        <w:rPr>
          <w:rFonts w:hint="eastAsia" w:eastAsia="仿宋_GB2312"/>
          <w:sz w:val="32"/>
          <w:szCs w:val="32"/>
        </w:rPr>
        <w:t>（CHB）</w:t>
      </w:r>
      <w:r>
        <w:rPr>
          <w:rFonts w:hint="eastAsia" w:ascii="仿宋_GB2312" w:hAnsi="黑体" w:eastAsia="仿宋_GB2312"/>
          <w:bCs/>
          <w:sz w:val="32"/>
          <w:szCs w:val="32"/>
        </w:rPr>
        <w:t>：</w:t>
      </w:r>
      <w:r>
        <w:rPr>
          <w:rFonts w:hint="eastAsia" w:eastAsia="仿宋_GB2312"/>
          <w:sz w:val="32"/>
          <w:szCs w:val="32"/>
        </w:rPr>
        <w:t>70%-95%</w:t>
      </w:r>
      <w:r>
        <w:rPr>
          <w:rFonts w:hint="eastAsia" w:ascii="仿宋_GB2312" w:hAnsi="黑体" w:eastAsia="仿宋_GB2312"/>
          <w:bCs/>
          <w:sz w:val="32"/>
          <w:szCs w:val="32"/>
        </w:rPr>
        <w:t>。</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8.</w:t>
      </w:r>
      <w:r>
        <w:rPr>
          <w:rFonts w:hint="eastAsia" w:ascii="仿宋_GB2312" w:hAnsi="黑体" w:eastAsia="仿宋_GB2312"/>
          <w:bCs/>
          <w:sz w:val="32"/>
          <w:szCs w:val="32"/>
        </w:rPr>
        <w:t>设备安装场地：见附件</w:t>
      </w:r>
      <w:r>
        <w:rPr>
          <w:rFonts w:hint="eastAsia" w:eastAsia="仿宋_GB2312"/>
          <w:sz w:val="32"/>
          <w:szCs w:val="32"/>
        </w:rPr>
        <w:t>2</w:t>
      </w:r>
      <w:r>
        <w:rPr>
          <w:rFonts w:hint="eastAsia" w:ascii="仿宋_GB2312" w:hAnsi="黑体" w:eastAsia="仿宋_GB2312"/>
          <w:bCs/>
          <w:sz w:val="32"/>
          <w:szCs w:val="32"/>
        </w:rPr>
        <w:t>。</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9.</w:t>
      </w:r>
      <w:r>
        <w:rPr>
          <w:rFonts w:hint="eastAsia" w:ascii="仿宋_GB2312" w:hAnsi="黑体" w:eastAsia="仿宋_GB2312"/>
          <w:bCs/>
          <w:sz w:val="32"/>
          <w:szCs w:val="32"/>
        </w:rPr>
        <w:t>服务期限：在双方约定时间内，提供符合本公司要求的小金碗高速灌封机采购、设备调试以及适应的售后服务。</w:t>
      </w:r>
    </w:p>
    <w:p>
      <w:pPr>
        <w:snapToGrid w:val="0"/>
        <w:spacing w:line="560" w:lineRule="exact"/>
        <w:ind w:firstLine="640" w:firstLineChars="200"/>
        <w:contextualSpacing/>
        <w:rPr>
          <w:rFonts w:hint="eastAsia" w:ascii="仿宋_GB2312" w:hAnsi="黑体" w:eastAsia="黑体"/>
          <w:bCs/>
          <w:sz w:val="32"/>
          <w:szCs w:val="32"/>
        </w:rPr>
      </w:pPr>
      <w:r>
        <w:rPr>
          <w:rFonts w:hint="eastAsia" w:eastAsia="黑体"/>
          <w:sz w:val="32"/>
          <w:szCs w:val="32"/>
        </w:rPr>
        <w:t>三、</w:t>
      </w:r>
      <w:r>
        <w:rPr>
          <w:rFonts w:hint="eastAsia" w:ascii="仿宋_GB2312" w:hAnsi="黑体" w:eastAsia="黑体"/>
          <w:bCs/>
          <w:sz w:val="32"/>
          <w:szCs w:val="32"/>
        </w:rPr>
        <w:t>合格报价人的资格要求</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1.</w:t>
      </w:r>
      <w:r>
        <w:rPr>
          <w:rFonts w:hint="eastAsia" w:ascii="仿宋_GB2312" w:hAnsi="黑体" w:eastAsia="仿宋_GB2312"/>
          <w:bCs/>
          <w:sz w:val="32"/>
          <w:szCs w:val="32"/>
        </w:rPr>
        <w:t>国内注册（指按国家有关规定要求注册的），具备法人资格的企业。</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2.</w:t>
      </w:r>
      <w:r>
        <w:rPr>
          <w:rFonts w:hint="eastAsia" w:ascii="仿宋_GB2312" w:hAnsi="黑体" w:eastAsia="仿宋_GB2312"/>
          <w:bCs/>
          <w:sz w:val="32"/>
          <w:szCs w:val="32"/>
        </w:rPr>
        <w:t>本项目不接受联合体报价。</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3.</w:t>
      </w:r>
      <w:r>
        <w:rPr>
          <w:rFonts w:hint="eastAsia" w:ascii="仿宋_GB2312" w:hAnsi="黑体" w:eastAsia="仿宋_GB2312"/>
          <w:bCs/>
          <w:sz w:val="32"/>
          <w:szCs w:val="32"/>
        </w:rPr>
        <w:t>单位负责人为同一人或者存在直接控股、管理关系的不同供应商，不得参加同一合同项下的采购活动。</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4.</w:t>
      </w:r>
      <w:r>
        <w:rPr>
          <w:rFonts w:hint="eastAsia" w:ascii="仿宋_GB2312" w:hAnsi="黑体" w:eastAsia="仿宋_GB2312"/>
          <w:bCs/>
          <w:sz w:val="32"/>
          <w:szCs w:val="32"/>
        </w:rPr>
        <w:t>对在“信用中国”网站</w:t>
      </w:r>
      <w:r>
        <w:rPr>
          <w:rFonts w:hint="eastAsia" w:eastAsia="仿宋_GB2312"/>
          <w:sz w:val="32"/>
          <w:szCs w:val="32"/>
        </w:rPr>
        <w:t>(www.creditchina.gov.cn)</w:t>
      </w:r>
      <w:r>
        <w:rPr>
          <w:rFonts w:hint="eastAsia" w:ascii="仿宋_GB2312" w:hAnsi="黑体" w:eastAsia="仿宋_GB2312"/>
          <w:bCs/>
          <w:sz w:val="32"/>
          <w:szCs w:val="32"/>
        </w:rPr>
        <w:t>、中国政府采购网</w:t>
      </w:r>
      <w:r>
        <w:rPr>
          <w:rFonts w:hint="eastAsia" w:eastAsia="仿宋_GB2312"/>
          <w:sz w:val="32"/>
          <w:szCs w:val="32"/>
        </w:rPr>
        <w:t>(www.ccgp.gov.cn)</w:t>
      </w:r>
      <w:r>
        <w:rPr>
          <w:rFonts w:hint="eastAsia" w:ascii="仿宋_GB2312" w:hAnsi="黑体" w:eastAsia="仿宋_GB2312"/>
          <w:bCs/>
          <w:sz w:val="32"/>
          <w:szCs w:val="32"/>
        </w:rPr>
        <w:t>等渠道列入失信被执行人、重大税收违法案件当事人名单、政府采购严重违法失信行为记录名单的供应商，不得参与。</w:t>
      </w:r>
    </w:p>
    <w:p>
      <w:pPr>
        <w:snapToGrid w:val="0"/>
        <w:spacing w:line="560" w:lineRule="exact"/>
        <w:ind w:firstLine="640" w:firstLineChars="200"/>
        <w:contextualSpacing/>
        <w:rPr>
          <w:rFonts w:hint="eastAsia" w:ascii="仿宋_GB2312" w:hAnsi="黑体" w:eastAsia="黑体"/>
          <w:bCs/>
          <w:sz w:val="32"/>
          <w:szCs w:val="32"/>
        </w:rPr>
      </w:pPr>
      <w:r>
        <w:rPr>
          <w:rFonts w:hint="eastAsia" w:ascii="仿宋_GB2312" w:hAnsi="黑体" w:eastAsia="黑体"/>
          <w:bCs/>
          <w:sz w:val="32"/>
          <w:szCs w:val="32"/>
        </w:rPr>
        <w:t>四、比选响应文件递交截止时间及地点</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1.</w:t>
      </w:r>
      <w:r>
        <w:rPr>
          <w:rFonts w:hint="eastAsia" w:ascii="仿宋_GB2312" w:hAnsi="黑体" w:eastAsia="仿宋_GB2312"/>
          <w:bCs/>
          <w:sz w:val="32"/>
          <w:szCs w:val="32"/>
        </w:rPr>
        <w:t>请报价方将书面报价文件以邮寄方式寄到广西双钱健康产业股份有限公司安环设备部。</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2.</w:t>
      </w:r>
      <w:r>
        <w:rPr>
          <w:rFonts w:hint="eastAsia" w:ascii="仿宋_GB2312" w:hAnsi="黑体" w:eastAsia="仿宋_GB2312"/>
          <w:bCs/>
          <w:sz w:val="32"/>
          <w:szCs w:val="32"/>
        </w:rPr>
        <w:t>邮寄件的封口必须完好，封口处加盖公章确保被启封后不可复原。</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3.</w:t>
      </w:r>
      <w:r>
        <w:rPr>
          <w:rFonts w:hint="eastAsia" w:ascii="仿宋_GB2312" w:hAnsi="黑体" w:eastAsia="仿宋_GB2312"/>
          <w:bCs/>
          <w:sz w:val="32"/>
          <w:szCs w:val="32"/>
        </w:rPr>
        <w:t>报价截止日期：自本公告发布之日起</w:t>
      </w:r>
      <w:r>
        <w:rPr>
          <w:rFonts w:hint="eastAsia" w:eastAsia="仿宋_GB2312"/>
          <w:sz w:val="32"/>
          <w:szCs w:val="32"/>
        </w:rPr>
        <w:t>5</w:t>
      </w:r>
      <w:r>
        <w:rPr>
          <w:rFonts w:hint="eastAsia" w:ascii="仿宋_GB2312" w:hAnsi="黑体" w:eastAsia="仿宋_GB2312"/>
          <w:bCs/>
          <w:sz w:val="32"/>
          <w:szCs w:val="32"/>
        </w:rPr>
        <w:t>天（含星期六日）内接受报价，挂网结束后</w:t>
      </w:r>
      <w:r>
        <w:rPr>
          <w:rFonts w:hint="eastAsia" w:eastAsia="仿宋_GB2312"/>
          <w:sz w:val="32"/>
          <w:szCs w:val="32"/>
        </w:rPr>
        <w:t>5</w:t>
      </w:r>
      <w:r>
        <w:rPr>
          <w:rFonts w:hint="eastAsia" w:ascii="仿宋_GB2312" w:hAnsi="黑体" w:eastAsia="仿宋_GB2312"/>
          <w:bCs/>
          <w:sz w:val="32"/>
          <w:szCs w:val="32"/>
        </w:rPr>
        <w:t>天停止接收报价文件。逾期则视为无效报价，请注意把握邮寄时间，以报价文件到达采购人时间为准。</w:t>
      </w:r>
    </w:p>
    <w:p>
      <w:pPr>
        <w:snapToGrid w:val="0"/>
        <w:spacing w:line="560" w:lineRule="exact"/>
        <w:ind w:firstLine="640" w:firstLineChars="200"/>
        <w:contextualSpacing/>
        <w:rPr>
          <w:rFonts w:hint="eastAsia" w:ascii="仿宋_GB2312" w:hAnsi="黑体" w:eastAsia="仿宋_GB2312"/>
          <w:bCs/>
          <w:sz w:val="32"/>
          <w:szCs w:val="32"/>
        </w:rPr>
      </w:pPr>
      <w:r>
        <w:rPr>
          <w:rFonts w:hint="eastAsia" w:eastAsia="仿宋_GB2312"/>
          <w:sz w:val="32"/>
          <w:szCs w:val="32"/>
        </w:rPr>
        <w:t>4.</w:t>
      </w:r>
      <w:r>
        <w:rPr>
          <w:rFonts w:hint="eastAsia" w:ascii="仿宋_GB2312" w:hAnsi="黑体" w:eastAsia="仿宋_GB2312"/>
          <w:bCs/>
          <w:sz w:val="32"/>
          <w:szCs w:val="32"/>
        </w:rPr>
        <w:t>收件地址：广西梧州市工业园区工业大道</w:t>
      </w:r>
      <w:r>
        <w:rPr>
          <w:rFonts w:hint="eastAsia" w:eastAsia="仿宋_GB2312"/>
          <w:sz w:val="32"/>
          <w:szCs w:val="32"/>
        </w:rPr>
        <w:t>1</w:t>
      </w:r>
      <w:r>
        <w:rPr>
          <w:rFonts w:hint="eastAsia" w:ascii="仿宋_GB2312" w:hAnsi="黑体" w:eastAsia="仿宋_GB2312"/>
          <w:bCs/>
          <w:sz w:val="32"/>
          <w:szCs w:val="32"/>
        </w:rPr>
        <w:t>号广西双钱健康产业股份有限公司安环设备部 收件人：李宇明，电话：</w:t>
      </w:r>
      <w:r>
        <w:rPr>
          <w:rFonts w:hint="eastAsia" w:eastAsia="仿宋_GB2312"/>
          <w:sz w:val="32"/>
          <w:szCs w:val="32"/>
        </w:rPr>
        <w:t>13617740670；</w:t>
      </w:r>
      <w:r>
        <w:rPr>
          <w:rFonts w:hint="eastAsia" w:ascii="仿宋_GB2312" w:hAnsi="黑体" w:eastAsia="仿宋_GB2312"/>
          <w:bCs/>
          <w:sz w:val="32"/>
          <w:szCs w:val="32"/>
        </w:rPr>
        <w:t>邮箱：</w:t>
      </w:r>
      <w:r>
        <w:fldChar w:fldCharType="begin"/>
      </w:r>
      <w:r>
        <w:instrText xml:space="preserve"> HYPERLINK "mailto:sqahsbb@wz-zh.com" </w:instrText>
      </w:r>
      <w:r>
        <w:fldChar w:fldCharType="separate"/>
      </w:r>
      <w:r>
        <w:rPr>
          <w:rFonts w:hint="eastAsia" w:eastAsia="仿宋_GB2312"/>
          <w:sz w:val="32"/>
          <w:szCs w:val="32"/>
        </w:rPr>
        <w:t>sqahsbb@wz-zh.com</w:t>
      </w:r>
      <w:r>
        <w:rPr>
          <w:rFonts w:hint="eastAsia" w:eastAsia="仿宋_GB2312"/>
          <w:sz w:val="32"/>
          <w:szCs w:val="32"/>
        </w:rPr>
        <w:fldChar w:fldCharType="end"/>
      </w:r>
      <w:r>
        <w:rPr>
          <w:rFonts w:hint="eastAsia"/>
        </w:rPr>
        <w:t>。</w:t>
      </w:r>
    </w:p>
    <w:p>
      <w:pPr>
        <w:snapToGrid w:val="0"/>
        <w:spacing w:line="560" w:lineRule="exact"/>
        <w:ind w:firstLine="640" w:firstLineChars="200"/>
        <w:contextualSpacing/>
        <w:rPr>
          <w:rFonts w:hint="eastAsia" w:ascii="仿宋_GB2312" w:hAnsi="黑体" w:eastAsia="黑体"/>
          <w:bCs/>
          <w:sz w:val="32"/>
          <w:szCs w:val="32"/>
        </w:rPr>
      </w:pPr>
      <w:r>
        <w:rPr>
          <w:rFonts w:hint="eastAsia" w:ascii="仿宋_GB2312" w:hAnsi="黑体" w:eastAsia="黑体"/>
          <w:bCs/>
          <w:sz w:val="32"/>
          <w:szCs w:val="32"/>
        </w:rPr>
        <w:t>五、应答文件要求</w:t>
      </w:r>
    </w:p>
    <w:p>
      <w:pPr>
        <w:snapToGrid w:val="0"/>
        <w:spacing w:line="560" w:lineRule="exact"/>
        <w:ind w:firstLine="640" w:firstLineChars="200"/>
        <w:contextualSpacing/>
        <w:rPr>
          <w:rFonts w:hint="eastAsia" w:ascii="仿宋_GB2312" w:hAnsi="黑体" w:eastAsia="仿宋_GB2312"/>
          <w:bCs/>
          <w:sz w:val="32"/>
          <w:szCs w:val="32"/>
        </w:rPr>
      </w:pPr>
      <w:r>
        <w:rPr>
          <w:rFonts w:hint="eastAsia" w:ascii="仿宋_GB2312" w:hAnsi="黑体" w:eastAsia="仿宋_GB2312"/>
          <w:bCs/>
          <w:sz w:val="32"/>
          <w:szCs w:val="32"/>
        </w:rPr>
        <w:t>见后附：小金碗高速灌封机采购（编号：</w:t>
      </w:r>
      <w:r>
        <w:rPr>
          <w:rFonts w:hint="eastAsia" w:eastAsia="仿宋_GB2312"/>
          <w:sz w:val="32"/>
          <w:szCs w:val="32"/>
        </w:rPr>
        <w:t>SQ-202503</w:t>
      </w:r>
      <w:r>
        <w:rPr>
          <w:rFonts w:hint="eastAsia" w:ascii="仿宋_GB2312" w:hAnsi="黑体" w:eastAsia="仿宋_GB2312"/>
          <w:bCs/>
          <w:sz w:val="32"/>
          <w:szCs w:val="32"/>
        </w:rPr>
        <w:t>）项目比选方案补充说明。</w:t>
      </w:r>
    </w:p>
    <w:p>
      <w:pPr>
        <w:snapToGrid w:val="0"/>
        <w:spacing w:line="560" w:lineRule="exact"/>
        <w:ind w:firstLine="640" w:firstLineChars="200"/>
        <w:contextualSpacing/>
        <w:rPr>
          <w:rFonts w:hint="eastAsia" w:ascii="仿宋_GB2312" w:hAnsi="黑体" w:eastAsia="仿宋_GB2312"/>
          <w:bCs/>
          <w:sz w:val="32"/>
          <w:szCs w:val="32"/>
        </w:rPr>
      </w:pPr>
    </w:p>
    <w:p>
      <w:pPr>
        <w:snapToGrid w:val="0"/>
        <w:spacing w:line="560" w:lineRule="exact"/>
        <w:ind w:firstLine="640" w:firstLineChars="200"/>
        <w:contextualSpacing/>
        <w:rPr>
          <w:rFonts w:hint="eastAsia" w:ascii="仿宋_GB2312" w:hAnsi="黑体" w:eastAsia="仿宋_GB2312"/>
          <w:bCs/>
          <w:sz w:val="32"/>
          <w:szCs w:val="32"/>
        </w:rPr>
      </w:pPr>
    </w:p>
    <w:p>
      <w:pPr>
        <w:snapToGrid w:val="0"/>
        <w:spacing w:line="560" w:lineRule="exact"/>
        <w:ind w:firstLine="640" w:firstLineChars="200"/>
        <w:contextualSpacing/>
        <w:rPr>
          <w:rFonts w:hint="eastAsia" w:ascii="仿宋_GB2312" w:hAnsi="黑体" w:eastAsia="仿宋_GB2312"/>
          <w:bCs/>
          <w:sz w:val="32"/>
          <w:szCs w:val="32"/>
        </w:rPr>
      </w:pPr>
      <w:r>
        <w:rPr>
          <w:rFonts w:hint="eastAsia" w:ascii="仿宋_GB2312" w:hAnsi="黑体" w:eastAsia="仿宋_GB2312"/>
          <w:bCs/>
          <w:sz w:val="32"/>
          <w:szCs w:val="32"/>
        </w:rPr>
        <w:t xml:space="preserve">                       广西双钱健康产业股份有限公司</w:t>
      </w:r>
    </w:p>
    <w:p>
      <w:pPr>
        <w:snapToGrid w:val="0"/>
        <w:spacing w:line="560" w:lineRule="exact"/>
        <w:ind w:firstLine="640" w:firstLineChars="200"/>
        <w:contextualSpacing/>
        <w:rPr>
          <w:rFonts w:hint="eastAsia" w:ascii="黑体" w:hAnsi="黑体" w:eastAsia="黑体"/>
          <w:bCs/>
          <w:sz w:val="32"/>
          <w:szCs w:val="32"/>
        </w:rPr>
      </w:pPr>
      <w:r>
        <w:rPr>
          <w:rFonts w:hint="eastAsia" w:ascii="仿宋_GB2312" w:hAnsi="黑体" w:eastAsia="仿宋_GB2312"/>
          <w:bCs/>
          <w:sz w:val="32"/>
          <w:szCs w:val="32"/>
        </w:rPr>
        <w:t xml:space="preserve">                              </w:t>
      </w:r>
      <w:r>
        <w:rPr>
          <w:rFonts w:hint="eastAsia" w:eastAsia="仿宋_GB2312"/>
          <w:sz w:val="32"/>
          <w:szCs w:val="32"/>
        </w:rPr>
        <w:t>2025</w:t>
      </w:r>
      <w:r>
        <w:rPr>
          <w:rFonts w:hint="eastAsia" w:ascii="仿宋_GB2312" w:hAnsi="黑体" w:eastAsia="仿宋_GB2312"/>
          <w:bCs/>
          <w:sz w:val="32"/>
          <w:szCs w:val="32"/>
        </w:rPr>
        <w:t>年  月  日</w:t>
      </w:r>
    </w:p>
    <w:p>
      <w:pPr>
        <w:spacing w:line="360" w:lineRule="auto"/>
        <w:ind w:firstLine="721" w:firstLineChars="200"/>
        <w:rPr>
          <w:b/>
          <w:sz w:val="36"/>
        </w:rPr>
      </w:pPr>
      <w:bookmarkStart w:id="11" w:name="_Toc519678418"/>
    </w:p>
    <w:p>
      <w:pPr>
        <w:spacing w:line="360" w:lineRule="auto"/>
        <w:ind w:firstLine="721" w:firstLineChars="200"/>
        <w:rPr>
          <w:b/>
          <w:sz w:val="36"/>
        </w:rPr>
      </w:pPr>
    </w:p>
    <w:p>
      <w:pPr>
        <w:spacing w:line="360" w:lineRule="auto"/>
        <w:ind w:firstLine="721" w:firstLineChars="200"/>
        <w:rPr>
          <w:b/>
          <w:sz w:val="36"/>
        </w:rPr>
      </w:pPr>
    </w:p>
    <w:p>
      <w:pPr>
        <w:spacing w:line="360" w:lineRule="auto"/>
        <w:ind w:firstLine="721" w:firstLineChars="200"/>
        <w:rPr>
          <w:b/>
          <w:sz w:val="36"/>
        </w:rPr>
      </w:pPr>
    </w:p>
    <w:p>
      <w:pPr>
        <w:spacing w:line="360" w:lineRule="auto"/>
        <w:rPr>
          <w:b/>
          <w:sz w:val="36"/>
        </w:rPr>
      </w:pPr>
    </w:p>
    <w:p>
      <w:pPr>
        <w:spacing w:line="560" w:lineRule="exact"/>
        <w:jc w:val="center"/>
        <w:rPr>
          <w:rFonts w:ascii="方正小标宋简体" w:eastAsia="方正小标宋简体"/>
          <w:bCs/>
          <w:sz w:val="44"/>
          <w:szCs w:val="32"/>
        </w:rPr>
      </w:pPr>
    </w:p>
    <w:p>
      <w:pPr>
        <w:spacing w:line="560" w:lineRule="exact"/>
        <w:jc w:val="center"/>
        <w:rPr>
          <w:rFonts w:ascii="方正小标宋简体" w:eastAsia="方正小标宋简体"/>
          <w:bCs/>
          <w:sz w:val="44"/>
          <w:szCs w:val="32"/>
        </w:rPr>
      </w:pPr>
      <w:r>
        <w:rPr>
          <w:rFonts w:hint="eastAsia" w:ascii="方正小标宋简体" w:eastAsia="方正小标宋简体"/>
          <w:bCs/>
          <w:sz w:val="44"/>
          <w:szCs w:val="32"/>
        </w:rPr>
        <w:t xml:space="preserve">第二章  </w:t>
      </w:r>
      <w:bookmarkEnd w:id="7"/>
      <w:bookmarkEnd w:id="8"/>
      <w:bookmarkEnd w:id="9"/>
      <w:bookmarkEnd w:id="10"/>
      <w:r>
        <w:rPr>
          <w:rFonts w:hint="eastAsia" w:ascii="方正小标宋简体" w:eastAsia="方正小标宋简体"/>
          <w:bCs/>
          <w:sz w:val="44"/>
          <w:szCs w:val="32"/>
        </w:rPr>
        <w:t>项目采购需求</w:t>
      </w:r>
      <w:bookmarkEnd w:id="11"/>
    </w:p>
    <w:p>
      <w:pPr>
        <w:spacing w:line="560" w:lineRule="exact"/>
        <w:ind w:firstLine="640" w:firstLineChars="200"/>
        <w:rPr>
          <w:rFonts w:eastAsia="仿宋_GB2312"/>
          <w:sz w:val="32"/>
          <w:szCs w:val="32"/>
        </w:rPr>
      </w:pPr>
      <w:bookmarkStart w:id="12" w:name="_Hlk183179139"/>
      <w:r>
        <w:rPr>
          <w:rFonts w:hint="eastAsia" w:eastAsia="仿宋_GB2312"/>
          <w:sz w:val="32"/>
          <w:szCs w:val="32"/>
        </w:rPr>
        <w:t>此采购需求文件的目的是对广西双钱健康产业股份有限公司需求的全新的小金碗高速灌封机采购而制定，为该项目招标的技术标准依据，并必须作为设备采购合同附件，以及设备验收标准之一。</w:t>
      </w:r>
    </w:p>
    <w:p>
      <w:pPr>
        <w:spacing w:line="560" w:lineRule="exact"/>
        <w:ind w:firstLine="640" w:firstLineChars="200"/>
        <w:rPr>
          <w:rFonts w:eastAsia="仿宋_GB2312"/>
          <w:sz w:val="32"/>
          <w:szCs w:val="32"/>
        </w:rPr>
      </w:pPr>
      <w:r>
        <w:rPr>
          <w:rFonts w:eastAsia="仿宋_GB2312"/>
          <w:sz w:val="32"/>
          <w:szCs w:val="32"/>
        </w:rPr>
        <w:t>这份</w:t>
      </w:r>
      <w:r>
        <w:rPr>
          <w:rFonts w:hint="eastAsia" w:eastAsia="仿宋_GB2312"/>
          <w:sz w:val="32"/>
          <w:szCs w:val="32"/>
        </w:rPr>
        <w:t>需</w:t>
      </w:r>
      <w:r>
        <w:rPr>
          <w:rFonts w:eastAsia="仿宋_GB2312"/>
          <w:sz w:val="32"/>
          <w:szCs w:val="32"/>
        </w:rPr>
        <w:t>求文件描述了</w:t>
      </w:r>
      <w:r>
        <w:rPr>
          <w:rFonts w:hint="eastAsia" w:eastAsia="仿宋_GB2312"/>
          <w:sz w:val="32"/>
          <w:szCs w:val="32"/>
        </w:rPr>
        <w:t>小金碗高速灌封机采购</w:t>
      </w:r>
      <w:r>
        <w:rPr>
          <w:rFonts w:eastAsia="仿宋_GB2312"/>
          <w:sz w:val="32"/>
          <w:szCs w:val="32"/>
        </w:rPr>
        <w:t>的基本需求，包括</w:t>
      </w:r>
      <w:r>
        <w:rPr>
          <w:rFonts w:hint="eastAsia" w:eastAsia="仿宋_GB2312"/>
          <w:sz w:val="32"/>
          <w:szCs w:val="32"/>
        </w:rPr>
        <w:t>(但不限于)以下章节</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.工艺用途概述 </w:t>
      </w:r>
      <w:r>
        <w:rPr>
          <w:rFonts w:eastAsia="仿宋_GB2312"/>
          <w:sz w:val="32"/>
          <w:szCs w:val="32"/>
        </w:rPr>
        <w:t xml:space="preserve">                     2</w:t>
      </w:r>
      <w:r>
        <w:rPr>
          <w:rFonts w:hint="eastAsia" w:eastAsia="仿宋_GB2312"/>
          <w:sz w:val="32"/>
          <w:szCs w:val="32"/>
        </w:rPr>
        <w:t>.法规要求</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.工艺要求 </w:t>
      </w:r>
      <w:r>
        <w:rPr>
          <w:rFonts w:eastAsia="仿宋_GB2312"/>
          <w:sz w:val="32"/>
          <w:szCs w:val="32"/>
        </w:rPr>
        <w:t xml:space="preserve">                         4</w:t>
      </w:r>
      <w:r>
        <w:rPr>
          <w:rFonts w:hint="eastAsia" w:eastAsia="仿宋_GB2312"/>
          <w:sz w:val="32"/>
          <w:szCs w:val="32"/>
        </w:rPr>
        <w:t xml:space="preserve">.电气控制要求 </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.安装要求 </w:t>
      </w:r>
      <w:r>
        <w:rPr>
          <w:rFonts w:eastAsia="仿宋_GB2312"/>
          <w:sz w:val="32"/>
          <w:szCs w:val="32"/>
        </w:rPr>
        <w:t xml:space="preserve">                         6</w:t>
      </w:r>
      <w:r>
        <w:rPr>
          <w:rFonts w:hint="eastAsia" w:eastAsia="仿宋_GB2312"/>
          <w:sz w:val="32"/>
          <w:szCs w:val="32"/>
        </w:rPr>
        <w:t>.安全要求</w:t>
      </w:r>
    </w:p>
    <w:p>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.文件要求 </w:t>
      </w:r>
      <w:r>
        <w:rPr>
          <w:rFonts w:eastAsia="仿宋_GB2312"/>
          <w:sz w:val="32"/>
          <w:szCs w:val="32"/>
        </w:rPr>
        <w:t xml:space="preserve">                         8</w:t>
      </w:r>
      <w:r>
        <w:rPr>
          <w:rFonts w:hint="eastAsia" w:eastAsia="仿宋_GB2312"/>
          <w:sz w:val="32"/>
          <w:szCs w:val="32"/>
        </w:rPr>
        <w:t>.培训要求</w:t>
      </w:r>
    </w:p>
    <w:p>
      <w:pPr>
        <w:spacing w:line="56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.售后服务要求</w:t>
      </w:r>
    </w:p>
    <w:p>
      <w:pPr>
        <w:spacing w:line="560" w:lineRule="exact"/>
        <w:ind w:firstLine="640" w:firstLineChars="200"/>
        <w:rPr>
          <w:rFonts w:eastAsia="黑体"/>
          <w:sz w:val="32"/>
          <w:szCs w:val="32"/>
        </w:rPr>
      </w:pPr>
      <w:bookmarkStart w:id="13" w:name="_Toc213325922"/>
      <w:bookmarkStart w:id="14" w:name="_Toc139967216"/>
      <w:bookmarkStart w:id="15" w:name="_Toc139966432"/>
      <w:bookmarkStart w:id="16" w:name="_Toc213206173"/>
      <w:r>
        <w:rPr>
          <w:rFonts w:hint="eastAsia" w:eastAsia="黑体"/>
          <w:sz w:val="32"/>
          <w:szCs w:val="32"/>
        </w:rPr>
        <w:t>一、项目概况</w:t>
      </w:r>
    </w:p>
    <w:p>
      <w:pPr>
        <w:spacing w:line="560" w:lineRule="exact"/>
        <w:ind w:firstLine="640" w:firstLineChars="200"/>
        <w:rPr>
          <w:rFonts w:eastAsia="仿宋_GB2312"/>
          <w:sz w:val="32"/>
          <w:szCs w:val="32"/>
        </w:rPr>
      </w:pPr>
      <w:r>
        <w:rPr>
          <w:rFonts w:hint="eastAsia" w:eastAsia="仿宋_GB2312"/>
          <w:sz w:val="32"/>
          <w:szCs w:val="32"/>
        </w:rPr>
        <w:t>项目名称：小金碗高速灌封机采购（编号：SQ-202503）项目</w:t>
      </w:r>
    </w:p>
    <w:p>
      <w:pPr>
        <w:spacing w:line="560" w:lineRule="exact"/>
        <w:ind w:firstLine="640" w:firstLineChars="200"/>
        <w:rPr>
          <w:rFonts w:eastAsia="黑体"/>
          <w:sz w:val="32"/>
          <w:szCs w:val="32"/>
        </w:rPr>
      </w:pPr>
      <w:r>
        <w:rPr>
          <w:rFonts w:hint="eastAsia" w:eastAsia="黑体"/>
          <w:sz w:val="32"/>
          <w:szCs w:val="32"/>
        </w:rPr>
        <w:t>二、情况说明</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报价人必须自行为其报价产品侵犯其他报价人或专利人的专利成果承担全部的法律责任；同时，具有产品专利的报价人应在其投标文件中提供与其自有产品专利相关的有效证明材料，否则，不能就其产品的专利在本项目采购过程中被侵权问题提出异议。</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.凡在“技术参数要求”中表述为“★必需”的货物，报价人应在报价表中将其标配参数详细列明，否则该报价无效。</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.“技术参数要求”中表述为“★必需”的项目，报价人在具体项目具有行业内优势时应展开阐述，将作为评标评分项。</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.评审时，如评审小组发现本一览表参数及性能（配置）要求中含有某一品牌特有的参数或限制性要求的，有权认定不作为主要参数及性能（配置）要求处理。</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.如采购需求与现行国家标准不一致，以现行国家标准为准。</w:t>
      </w:r>
    </w:p>
    <w:p>
      <w:pPr>
        <w:spacing w:line="560" w:lineRule="exact"/>
        <w:ind w:firstLine="640" w:firstLineChars="200"/>
        <w:rPr>
          <w:rFonts w:eastAsia="黑体"/>
          <w:sz w:val="32"/>
          <w:szCs w:val="32"/>
        </w:rPr>
      </w:pPr>
      <w:r>
        <w:rPr>
          <w:rFonts w:hint="eastAsia" w:eastAsia="黑体"/>
          <w:sz w:val="32"/>
          <w:szCs w:val="32"/>
        </w:rPr>
        <w:t>三、技术参数要求</w:t>
      </w:r>
    </w:p>
    <w:p>
      <w:pPr>
        <w:snapToGrid w:val="0"/>
        <w:spacing w:line="560" w:lineRule="exact"/>
        <w:ind w:firstLine="510"/>
        <w:outlineLvl w:val="0"/>
        <w:rPr>
          <w:rFonts w:eastAsia="仿宋_GB2312"/>
          <w:b/>
          <w:sz w:val="32"/>
          <w:szCs w:val="32"/>
        </w:rPr>
      </w:pPr>
      <w:bookmarkStart w:id="17" w:name="_Toc522719323"/>
      <w:r>
        <w:rPr>
          <w:rFonts w:hint="eastAsia" w:eastAsia="仿宋_GB2312"/>
          <w:b/>
          <w:sz w:val="32"/>
          <w:szCs w:val="32"/>
        </w:rPr>
        <w:t>1.工艺用途概述</w:t>
      </w:r>
      <w:bookmarkEnd w:id="17"/>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.1 </w:t>
      </w:r>
      <w:r>
        <w:rPr>
          <w:rFonts w:hint="eastAsia" w:eastAsia="仿宋_GB2312"/>
          <w:sz w:val="32"/>
          <w:szCs w:val="32"/>
        </w:rPr>
        <w:t>根据广西双钱健康产业股份有限公司规划发展需要，提高小金碗产品生产效率，拟采购小金碗高速灌封机满足生产需求。</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.2 </w:t>
      </w:r>
      <w:r>
        <w:rPr>
          <w:rFonts w:hint="eastAsia" w:eastAsia="仿宋_GB2312"/>
          <w:sz w:val="32"/>
          <w:szCs w:val="32"/>
        </w:rPr>
        <w:t>工艺概述</w:t>
      </w:r>
    </w:p>
    <w:p>
      <w:pPr>
        <w:snapToGrid w:val="0"/>
        <w:spacing w:before="82" w:beforeLines="25" w:after="82" w:afterLines="25" w:line="360" w:lineRule="auto"/>
        <w:jc w:val="center"/>
        <w:rPr>
          <w:rFonts w:hint="eastAsia" w:ascii="宋体" w:hAnsi="宋体" w:cs="Arial"/>
          <w:szCs w:val="21"/>
        </w:rPr>
      </w:pPr>
      <w:r>
        <w:drawing>
          <wp:inline distT="0" distB="0" distL="0" distR="0">
            <wp:extent cx="6080760" cy="949960"/>
            <wp:effectExtent l="19050" t="19050" r="0" b="2540"/>
            <wp:docPr id="1043446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46018" name="图片 1"/>
                    <pic:cNvPicPr>
                      <a:picLocks noChangeAspect="1"/>
                    </pic:cNvPicPr>
                  </pic:nvPicPr>
                  <pic:blipFill>
                    <a:blip r:embed="rId13"/>
                    <a:stretch>
                      <a:fillRect/>
                    </a:stretch>
                  </pic:blipFill>
                  <pic:spPr>
                    <a:xfrm>
                      <a:off x="0" y="0"/>
                      <a:ext cx="6081118" cy="950214"/>
                    </a:xfrm>
                    <a:prstGeom prst="rect">
                      <a:avLst/>
                    </a:prstGeom>
                    <a:ln>
                      <a:solidFill>
                        <a:schemeClr val="tx2"/>
                      </a:solidFill>
                    </a:ln>
                  </pic:spPr>
                </pic:pic>
              </a:graphicData>
            </a:graphic>
          </wp:inline>
        </w:drawing>
      </w:r>
      <w:r>
        <w:rPr>
          <w:rFonts w:hint="eastAsia" w:ascii="宋体" w:hAnsi="宋体" w:cs="Arial"/>
          <w:szCs w:val="21"/>
        </w:rPr>
        <w:t xml:space="preserve">  </w:t>
      </w:r>
    </w:p>
    <w:p>
      <w:pPr>
        <w:snapToGrid w:val="0"/>
        <w:spacing w:line="560" w:lineRule="exact"/>
        <w:ind w:firstLine="640" w:firstLineChars="200"/>
        <w:rPr>
          <w:rFonts w:eastAsia="仿宋_GB2312"/>
          <w:sz w:val="32"/>
          <w:szCs w:val="32"/>
        </w:rPr>
      </w:pPr>
      <w:r>
        <w:rPr>
          <w:rFonts w:hint="eastAsia" w:eastAsia="仿宋_GB2312"/>
          <w:sz w:val="32"/>
          <w:szCs w:val="32"/>
        </w:rPr>
        <w:t>设备具备简洁易操作的人机界面，拆碗机构可将空碗自动拆分并稳定落入输送带，</w:t>
      </w:r>
      <w:bookmarkStart w:id="18" w:name="_Toc522719324"/>
      <w:bookmarkStart w:id="19" w:name="_Toc513628069"/>
      <w:r>
        <w:rPr>
          <w:rFonts w:hint="eastAsia" w:eastAsia="仿宋_GB2312"/>
          <w:sz w:val="32"/>
          <w:szCs w:val="32"/>
        </w:rPr>
        <w:t>空碗经输送带进入洗碗机构进行翻转冲洗，冲洗干净的空碗进入灌封机进行灌装封口，灌封完成的产品输送至下一工序。</w:t>
      </w:r>
    </w:p>
    <w:p>
      <w:pPr>
        <w:snapToGrid w:val="0"/>
        <w:spacing w:line="560" w:lineRule="exact"/>
        <w:ind w:left="643"/>
        <w:outlineLvl w:val="0"/>
        <w:rPr>
          <w:rFonts w:eastAsia="仿宋_GB2312"/>
          <w:b/>
          <w:sz w:val="32"/>
          <w:szCs w:val="32"/>
        </w:rPr>
      </w:pPr>
    </w:p>
    <w:p>
      <w:pPr>
        <w:snapToGrid w:val="0"/>
        <w:spacing w:line="560" w:lineRule="exact"/>
        <w:ind w:left="643"/>
        <w:outlineLvl w:val="0"/>
        <w:rPr>
          <w:rFonts w:eastAsia="仿宋_GB2312"/>
          <w:b/>
          <w:sz w:val="32"/>
          <w:szCs w:val="32"/>
        </w:rPr>
      </w:pPr>
    </w:p>
    <w:p>
      <w:pPr>
        <w:snapToGrid w:val="0"/>
        <w:spacing w:line="560" w:lineRule="exact"/>
        <w:ind w:left="643"/>
        <w:outlineLvl w:val="0"/>
        <w:rPr>
          <w:rFonts w:eastAsia="仿宋_GB2312"/>
          <w:b/>
          <w:sz w:val="32"/>
          <w:szCs w:val="32"/>
        </w:rPr>
      </w:pPr>
    </w:p>
    <w:p>
      <w:pPr>
        <w:snapToGrid w:val="0"/>
        <w:spacing w:line="560" w:lineRule="exact"/>
        <w:ind w:left="643"/>
        <w:outlineLvl w:val="0"/>
        <w:rPr>
          <w:rFonts w:eastAsia="仿宋_GB2312"/>
          <w:b/>
          <w:sz w:val="32"/>
          <w:szCs w:val="32"/>
        </w:rPr>
      </w:pPr>
      <w:r>
        <w:rPr>
          <w:rFonts w:hint="eastAsia" w:eastAsia="仿宋_GB2312"/>
          <w:b/>
          <w:sz w:val="32"/>
          <w:szCs w:val="32"/>
        </w:rPr>
        <w:t>2、法规要求</w:t>
      </w:r>
      <w:bookmarkEnd w:id="18"/>
      <w:bookmarkEnd w:id="19"/>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5443"/>
        <w:gridCol w:w="143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exact"/>
        </w:trPr>
        <w:tc>
          <w:tcPr>
            <w:tcW w:w="432" w:type="pct"/>
            <w:vAlign w:val="center"/>
          </w:tcPr>
          <w:p>
            <w:pPr>
              <w:snapToGrid w:val="0"/>
              <w:jc w:val="center"/>
              <w:rPr>
                <w:rFonts w:ascii="楷体_GB2312" w:eastAsia="楷体_GB2312"/>
                <w:sz w:val="24"/>
              </w:rPr>
            </w:pPr>
            <w:r>
              <w:rPr>
                <w:rFonts w:hint="eastAsia" w:ascii="楷体_GB2312" w:eastAsia="楷体_GB2312"/>
                <w:sz w:val="24"/>
              </w:rPr>
              <w:t>序号</w:t>
            </w:r>
          </w:p>
        </w:tc>
        <w:tc>
          <w:tcPr>
            <w:tcW w:w="3004" w:type="pct"/>
            <w:vAlign w:val="center"/>
          </w:tcPr>
          <w:p>
            <w:pPr>
              <w:snapToGrid w:val="0"/>
              <w:jc w:val="center"/>
              <w:rPr>
                <w:rFonts w:ascii="楷体_GB2312" w:eastAsia="楷体_GB2312"/>
                <w:sz w:val="24"/>
              </w:rPr>
            </w:pPr>
            <w:r>
              <w:rPr>
                <w:rFonts w:hint="eastAsia" w:ascii="楷体_GB2312" w:eastAsia="楷体_GB2312"/>
                <w:sz w:val="24"/>
              </w:rPr>
              <w:t>需求内容</w:t>
            </w:r>
          </w:p>
        </w:tc>
        <w:tc>
          <w:tcPr>
            <w:tcW w:w="792" w:type="pct"/>
            <w:vAlign w:val="center"/>
          </w:tcPr>
          <w:p>
            <w:pPr>
              <w:snapToGrid w:val="0"/>
              <w:jc w:val="center"/>
              <w:rPr>
                <w:rFonts w:ascii="楷体_GB2312" w:eastAsia="楷体_GB2312"/>
                <w:sz w:val="24"/>
              </w:rPr>
            </w:pPr>
            <w:r>
              <w:rPr>
                <w:rFonts w:hint="eastAsia" w:ascii="楷体_GB2312" w:eastAsia="楷体_GB2312"/>
                <w:sz w:val="24"/>
              </w:rPr>
              <w:t>必需或期望</w:t>
            </w:r>
          </w:p>
        </w:tc>
        <w:tc>
          <w:tcPr>
            <w:tcW w:w="773" w:type="pct"/>
          </w:tcPr>
          <w:p>
            <w:pPr>
              <w:snapToGrid w:val="0"/>
              <w:jc w:val="center"/>
              <w:rPr>
                <w:rFonts w:ascii="楷体_GB2312" w:eastAsia="楷体_GB2312"/>
                <w:sz w:val="24"/>
              </w:rPr>
            </w:pPr>
            <w:r>
              <w:rPr>
                <w:rFonts w:hint="eastAsia" w:ascii="楷体_GB2312"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4" w:hRule="exact"/>
        </w:trPr>
        <w:tc>
          <w:tcPr>
            <w:tcW w:w="432" w:type="pct"/>
            <w:vAlign w:val="center"/>
          </w:tcPr>
          <w:p>
            <w:pPr>
              <w:snapToGrid w:val="0"/>
              <w:jc w:val="center"/>
              <w:rPr>
                <w:rFonts w:ascii="楷体_GB2312" w:eastAsia="楷体_GB2312"/>
                <w:sz w:val="24"/>
              </w:rPr>
            </w:pPr>
            <w:r>
              <w:rPr>
                <w:rFonts w:hint="eastAsia" w:eastAsia="楷体_GB2312"/>
                <w:sz w:val="24"/>
              </w:rPr>
              <w:t>2.1</w:t>
            </w:r>
          </w:p>
        </w:tc>
        <w:tc>
          <w:tcPr>
            <w:tcW w:w="3004" w:type="pct"/>
            <w:vAlign w:val="center"/>
          </w:tcPr>
          <w:p>
            <w:pPr>
              <w:snapToGrid w:val="0"/>
              <w:rPr>
                <w:rFonts w:ascii="楷体_GB2312" w:eastAsia="楷体_GB2312"/>
                <w:sz w:val="24"/>
              </w:rPr>
            </w:pPr>
            <w:r>
              <w:rPr>
                <w:rFonts w:hint="eastAsia" w:ascii="楷体_GB2312" w:eastAsia="楷体_GB2312"/>
                <w:sz w:val="24"/>
              </w:rPr>
              <w:t>行业标准（执行最新版）:</w:t>
            </w:r>
          </w:p>
          <w:p>
            <w:pPr>
              <w:snapToGrid w:val="0"/>
              <w:rPr>
                <w:rFonts w:ascii="楷体_GB2312" w:eastAsia="楷体_GB2312"/>
                <w:sz w:val="24"/>
              </w:rPr>
            </w:pPr>
            <w:r>
              <w:rPr>
                <w:rFonts w:hint="eastAsia" w:ascii="楷体_GB2312" w:eastAsia="楷体_GB2312"/>
                <w:sz w:val="24"/>
              </w:rPr>
              <w:t>工业企业设计卫生标准。</w:t>
            </w:r>
          </w:p>
          <w:p>
            <w:pPr>
              <w:snapToGrid w:val="0"/>
              <w:rPr>
                <w:rFonts w:ascii="楷体_GB2312" w:eastAsia="楷体_GB2312"/>
                <w:sz w:val="24"/>
              </w:rPr>
            </w:pPr>
            <w:r>
              <w:rPr>
                <w:rFonts w:hint="eastAsia" w:ascii="楷体_GB2312" w:eastAsia="楷体_GB2312"/>
                <w:sz w:val="24"/>
              </w:rPr>
              <w:t>《自动控制技术条件》。</w:t>
            </w:r>
          </w:p>
          <w:p>
            <w:pPr>
              <w:snapToGrid w:val="0"/>
              <w:rPr>
                <w:rFonts w:ascii="楷体_GB2312" w:eastAsia="楷体_GB2312"/>
                <w:sz w:val="24"/>
              </w:rPr>
            </w:pPr>
            <w:r>
              <w:rPr>
                <w:rFonts w:hint="eastAsia" w:ascii="楷体_GB2312" w:eastAsia="楷体_GB2312"/>
                <w:sz w:val="24"/>
              </w:rPr>
              <w:t>于</w:t>
            </w:r>
            <w:r>
              <w:rPr>
                <w:rFonts w:hint="eastAsia" w:eastAsia="楷体_GB2312"/>
                <w:sz w:val="24"/>
              </w:rPr>
              <w:t>ISO9000：2008</w:t>
            </w:r>
            <w:r>
              <w:rPr>
                <w:rFonts w:hint="eastAsia" w:ascii="楷体_GB2312" w:eastAsia="楷体_GB2312"/>
                <w:sz w:val="24"/>
              </w:rPr>
              <w:t>的质量保证系统。</w:t>
            </w:r>
          </w:p>
        </w:tc>
        <w:tc>
          <w:tcPr>
            <w:tcW w:w="792" w:type="pct"/>
            <w:vAlign w:val="center"/>
          </w:tcPr>
          <w:p>
            <w:pPr>
              <w:snapToGrid w:val="0"/>
              <w:jc w:val="center"/>
              <w:rPr>
                <w:rFonts w:ascii="楷体_GB2312" w:eastAsia="楷体_GB2312"/>
                <w:sz w:val="24"/>
              </w:rPr>
            </w:pPr>
            <w:r>
              <w:rPr>
                <w:rFonts w:hint="eastAsia" w:ascii="楷体_GB2312" w:eastAsia="楷体_GB2312"/>
                <w:sz w:val="24"/>
              </w:rPr>
              <w:t>必需</w:t>
            </w:r>
          </w:p>
        </w:tc>
        <w:tc>
          <w:tcPr>
            <w:tcW w:w="773" w:type="pct"/>
          </w:tcPr>
          <w:p>
            <w:pPr>
              <w:snapToGrid w:val="0"/>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exact"/>
        </w:trPr>
        <w:tc>
          <w:tcPr>
            <w:tcW w:w="432" w:type="pct"/>
            <w:vAlign w:val="center"/>
          </w:tcPr>
          <w:p>
            <w:pPr>
              <w:snapToGrid w:val="0"/>
              <w:jc w:val="center"/>
              <w:rPr>
                <w:rFonts w:ascii="楷体_GB2312" w:eastAsia="楷体_GB2312"/>
                <w:sz w:val="24"/>
              </w:rPr>
            </w:pPr>
            <w:r>
              <w:rPr>
                <w:rFonts w:hint="eastAsia" w:eastAsia="楷体_GB2312"/>
                <w:sz w:val="24"/>
              </w:rPr>
              <w:t>2.2</w:t>
            </w:r>
          </w:p>
        </w:tc>
        <w:tc>
          <w:tcPr>
            <w:tcW w:w="3004" w:type="pct"/>
            <w:vAlign w:val="center"/>
          </w:tcPr>
          <w:p>
            <w:pPr>
              <w:snapToGrid w:val="0"/>
              <w:rPr>
                <w:rFonts w:ascii="楷体_GB2312" w:eastAsia="楷体_GB2312"/>
                <w:sz w:val="24"/>
              </w:rPr>
            </w:pPr>
            <w:r>
              <w:rPr>
                <w:rFonts w:hint="eastAsia" w:ascii="楷体_GB2312" w:eastAsia="楷体_GB2312"/>
                <w:sz w:val="24"/>
              </w:rPr>
              <w:t>国家标准（执行最新版）:</w:t>
            </w:r>
          </w:p>
          <w:p>
            <w:pPr>
              <w:snapToGrid w:val="0"/>
              <w:ind w:firstLine="240" w:firstLineChars="100"/>
              <w:rPr>
                <w:rFonts w:ascii="楷体_GB2312" w:eastAsia="楷体_GB2312"/>
                <w:sz w:val="24"/>
              </w:rPr>
            </w:pPr>
            <w:r>
              <w:rPr>
                <w:rFonts w:hint="eastAsia" w:ascii="楷体_GB2312" w:eastAsia="楷体_GB2312"/>
                <w:sz w:val="24"/>
              </w:rPr>
              <w:t>机械安全机械电气设备第一部分：通用技术条件；</w:t>
            </w:r>
          </w:p>
          <w:p>
            <w:pPr>
              <w:snapToGrid w:val="0"/>
              <w:ind w:firstLine="240" w:firstLineChars="100"/>
              <w:rPr>
                <w:rFonts w:ascii="楷体_GB2312" w:eastAsia="楷体_GB2312"/>
                <w:sz w:val="24"/>
              </w:rPr>
            </w:pPr>
            <w:r>
              <w:rPr>
                <w:rFonts w:hint="eastAsia" w:ascii="楷体_GB2312" w:eastAsia="楷体_GB2312"/>
                <w:sz w:val="24"/>
              </w:rPr>
              <w:t>机械设计防护罩安全要求；</w:t>
            </w:r>
          </w:p>
          <w:p>
            <w:pPr>
              <w:snapToGrid w:val="0"/>
              <w:ind w:firstLine="120" w:firstLineChars="50"/>
              <w:rPr>
                <w:rFonts w:ascii="楷体_GB2312" w:eastAsia="楷体_GB2312"/>
                <w:sz w:val="24"/>
              </w:rPr>
            </w:pPr>
            <w:r>
              <w:rPr>
                <w:rFonts w:hint="eastAsia" w:ascii="楷体_GB2312" w:eastAsia="楷体_GB2312"/>
                <w:sz w:val="24"/>
              </w:rPr>
              <w:t>《机械产品电气安全要求通用要求》；</w:t>
            </w:r>
          </w:p>
          <w:p>
            <w:pPr>
              <w:snapToGrid w:val="0"/>
              <w:ind w:firstLine="120" w:firstLineChars="50"/>
              <w:rPr>
                <w:rFonts w:ascii="楷体_GB2312" w:eastAsia="楷体_GB2312"/>
                <w:sz w:val="24"/>
              </w:rPr>
            </w:pPr>
            <w:r>
              <w:rPr>
                <w:rFonts w:hint="eastAsia" w:ascii="楷体_GB2312" w:eastAsia="楷体_GB2312"/>
                <w:sz w:val="24"/>
              </w:rPr>
              <w:t>《电气设备环境要求及其试验方法》。</w:t>
            </w:r>
          </w:p>
        </w:tc>
        <w:tc>
          <w:tcPr>
            <w:tcW w:w="792" w:type="pct"/>
            <w:vAlign w:val="center"/>
          </w:tcPr>
          <w:p>
            <w:pPr>
              <w:snapToGrid w:val="0"/>
              <w:jc w:val="center"/>
              <w:rPr>
                <w:rFonts w:ascii="楷体_GB2312" w:eastAsia="楷体_GB2312"/>
                <w:sz w:val="24"/>
              </w:rPr>
            </w:pPr>
            <w:r>
              <w:rPr>
                <w:rFonts w:hint="eastAsia" w:ascii="楷体_GB2312" w:eastAsia="楷体_GB2312"/>
                <w:sz w:val="24"/>
              </w:rPr>
              <w:t>必需</w:t>
            </w:r>
          </w:p>
        </w:tc>
        <w:tc>
          <w:tcPr>
            <w:tcW w:w="773" w:type="pct"/>
          </w:tcPr>
          <w:p>
            <w:pPr>
              <w:snapToGrid w:val="0"/>
              <w:jc w:val="center"/>
              <w:rPr>
                <w:rFonts w:ascii="楷体_GB2312" w:eastAsia="楷体_GB2312"/>
                <w:sz w:val="24"/>
              </w:rPr>
            </w:pPr>
          </w:p>
        </w:tc>
      </w:tr>
    </w:tbl>
    <w:p>
      <w:pPr>
        <w:snapToGrid w:val="0"/>
        <w:spacing w:line="560" w:lineRule="exact"/>
        <w:ind w:firstLine="643" w:firstLineChars="200"/>
        <w:outlineLvl w:val="0"/>
        <w:rPr>
          <w:rFonts w:eastAsia="仿宋_GB2312"/>
          <w:b/>
          <w:sz w:val="32"/>
          <w:szCs w:val="32"/>
        </w:rPr>
      </w:pPr>
      <w:bookmarkStart w:id="20" w:name="_Toc522719325"/>
      <w:bookmarkStart w:id="21" w:name="_Toc513628067"/>
      <w:r>
        <w:rPr>
          <w:rFonts w:hint="eastAsia" w:eastAsia="仿宋_GB2312"/>
          <w:b/>
          <w:sz w:val="32"/>
          <w:szCs w:val="32"/>
        </w:rPr>
        <w:t>3、工艺要求</w:t>
      </w:r>
      <w:bookmarkEnd w:id="20"/>
      <w:bookmarkEnd w:id="2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5519"/>
        <w:gridCol w:w="1435"/>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exact"/>
          <w:jc w:val="center"/>
        </w:trPr>
        <w:tc>
          <w:tcPr>
            <w:tcW w:w="389" w:type="pct"/>
            <w:vAlign w:val="center"/>
          </w:tcPr>
          <w:p>
            <w:pPr>
              <w:snapToGrid w:val="0"/>
              <w:jc w:val="center"/>
              <w:rPr>
                <w:rFonts w:eastAsia="楷体_GB2312"/>
                <w:sz w:val="24"/>
              </w:rPr>
            </w:pPr>
            <w:r>
              <w:rPr>
                <w:rFonts w:hint="eastAsia" w:eastAsia="楷体_GB2312"/>
                <w:sz w:val="24"/>
              </w:rPr>
              <w:t>序号</w:t>
            </w:r>
          </w:p>
        </w:tc>
        <w:tc>
          <w:tcPr>
            <w:tcW w:w="3046" w:type="pct"/>
            <w:vAlign w:val="center"/>
          </w:tcPr>
          <w:p>
            <w:pPr>
              <w:snapToGrid w:val="0"/>
              <w:jc w:val="center"/>
              <w:rPr>
                <w:rFonts w:eastAsia="楷体_GB2312"/>
                <w:sz w:val="24"/>
              </w:rPr>
            </w:pPr>
            <w:r>
              <w:rPr>
                <w:rFonts w:hint="eastAsia" w:eastAsia="楷体_GB2312"/>
                <w:sz w:val="24"/>
              </w:rPr>
              <w:t>需求内容</w:t>
            </w:r>
          </w:p>
        </w:tc>
        <w:tc>
          <w:tcPr>
            <w:tcW w:w="792" w:type="pct"/>
            <w:vAlign w:val="center"/>
          </w:tcPr>
          <w:p>
            <w:pPr>
              <w:snapToGrid w:val="0"/>
              <w:jc w:val="center"/>
              <w:rPr>
                <w:rFonts w:eastAsia="楷体_GB2312"/>
                <w:sz w:val="24"/>
              </w:rPr>
            </w:pPr>
            <w:r>
              <w:rPr>
                <w:rFonts w:hint="eastAsia" w:eastAsia="楷体_GB2312"/>
                <w:sz w:val="24"/>
              </w:rPr>
              <w:t>必需或期望</w:t>
            </w:r>
          </w:p>
        </w:tc>
        <w:tc>
          <w:tcPr>
            <w:tcW w:w="773" w:type="pct"/>
            <w:vAlign w:val="center"/>
          </w:tcPr>
          <w:p>
            <w:pPr>
              <w:snapToGrid w:val="0"/>
              <w:jc w:val="center"/>
              <w:rPr>
                <w:rFonts w:eastAsia="楷体_GB2312"/>
                <w:sz w:val="24"/>
              </w:rPr>
            </w:pPr>
            <w:r>
              <w:rPr>
                <w:rFonts w:hint="eastAsia" w:eastAsia="楷体_GB2312"/>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exact"/>
          <w:jc w:val="center"/>
        </w:trPr>
        <w:tc>
          <w:tcPr>
            <w:tcW w:w="389" w:type="pct"/>
            <w:vAlign w:val="center"/>
          </w:tcPr>
          <w:p>
            <w:pPr>
              <w:numPr>
                <w:ilvl w:val="1"/>
                <w:numId w:val="2"/>
              </w:numPr>
              <w:snapToGrid w:val="0"/>
              <w:jc w:val="center"/>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设备用于小金碗产品生产，具备自动拆碗落碗、自动洗碗及自动产品灌装封口功能，整体生产速度不低于100碗/min。</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p>
            <w:pPr>
              <w:snapToGrid w:val="0"/>
              <w:jc w:val="center"/>
              <w:rPr>
                <w:rFonts w:eastAsia="楷体_GB2312"/>
                <w:sz w:val="24"/>
              </w:rPr>
            </w:pPr>
          </w:p>
          <w:p>
            <w:pPr>
              <w:snapToGrid w:val="0"/>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1" w:hRule="exact"/>
          <w:jc w:val="center"/>
        </w:trPr>
        <w:tc>
          <w:tcPr>
            <w:tcW w:w="389" w:type="pct"/>
            <w:vAlign w:val="center"/>
          </w:tcPr>
          <w:p>
            <w:pPr>
              <w:numPr>
                <w:ilvl w:val="1"/>
                <w:numId w:val="2"/>
              </w:numPr>
              <w:snapToGrid w:val="0"/>
              <w:jc w:val="center"/>
              <w:outlineLvl w:val="1"/>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设备应具备自动拆碗落碗机构，可将条状空碗自动拆分并平稳落入输送带，过程中碗身无刮花、变形等异常情况。空碗存储仓最大存储量不低于200个，并具备最小量报警提示功能。</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3" w:hRule="exact"/>
          <w:jc w:val="center"/>
        </w:trPr>
        <w:tc>
          <w:tcPr>
            <w:tcW w:w="389" w:type="pct"/>
            <w:vAlign w:val="center"/>
          </w:tcPr>
          <w:p>
            <w:pPr>
              <w:numPr>
                <w:ilvl w:val="1"/>
                <w:numId w:val="2"/>
              </w:numPr>
              <w:snapToGrid w:val="0"/>
              <w:jc w:val="center"/>
              <w:outlineLvl w:val="1"/>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设备应具备自动洗碗机构，通过翻转碗身使得碗口朝下，水柱由下往上冲洗，将可能附着在碗内壁的异物冲洗干净，并将残留在内壁的水珠沥干。过程中碗身无刮花、变形等异常情况。</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exact"/>
          <w:jc w:val="center"/>
        </w:trPr>
        <w:tc>
          <w:tcPr>
            <w:tcW w:w="389" w:type="pct"/>
            <w:vAlign w:val="center"/>
          </w:tcPr>
          <w:p>
            <w:pPr>
              <w:numPr>
                <w:ilvl w:val="1"/>
                <w:numId w:val="2"/>
              </w:numPr>
              <w:snapToGrid w:val="0"/>
              <w:jc w:val="center"/>
              <w:outlineLvl w:val="1"/>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设备应具备自动灌装装置，灌装过程中无物料滴漏、飞溅，装量稳定，调整便捷，充填精度满足我司要求（</w:t>
            </w:r>
            <m:oMath>
              <m:sSubSup>
                <m:sSubSupPr>
                  <m:ctrlPr>
                    <w:rPr>
                      <w:rFonts w:ascii="Cambria Math" w:hAnsi="Cambria Math" w:eastAsia="楷体_GB2312"/>
                      <w:sz w:val="24"/>
                    </w:rPr>
                  </m:ctrlPr>
                </m:sSubSupPr>
                <m:e>
                  <m:r>
                    <m:rPr>
                      <m:sty m:val="p"/>
                    </m:rPr>
                    <w:rPr>
                      <w:rFonts w:ascii="Cambria Math" w:hAnsi="Cambria Math" w:eastAsia="楷体_GB2312"/>
                      <w:sz w:val="24"/>
                    </w:rPr>
                    <m:t>200</m:t>
                  </m:r>
                  <m:ctrlPr>
                    <w:rPr>
                      <w:rFonts w:ascii="Cambria Math" w:hAnsi="Cambria Math" w:eastAsia="楷体_GB2312"/>
                      <w:sz w:val="24"/>
                    </w:rPr>
                  </m:ctrlPr>
                </m:e>
                <m:sub>
                  <m:r>
                    <m:rPr>
                      <m:sty m:val="p"/>
                    </m:rPr>
                    <w:rPr>
                      <w:rFonts w:ascii="Cambria Math" w:hAnsi="Cambria Math" w:eastAsia="楷体_GB2312"/>
                      <w:sz w:val="24"/>
                    </w:rPr>
                    <m:t>0</m:t>
                  </m:r>
                  <m:ctrlPr>
                    <w:rPr>
                      <w:rFonts w:ascii="Cambria Math" w:hAnsi="Cambria Math" w:eastAsia="楷体_GB2312"/>
                      <w:sz w:val="24"/>
                    </w:rPr>
                  </m:ctrlPr>
                </m:sub>
                <m:sup>
                  <m:r>
                    <m:rPr>
                      <m:sty m:val="p"/>
                    </m:rPr>
                    <w:rPr>
                      <w:rFonts w:ascii="Cambria Math" w:hAnsi="Cambria Math" w:eastAsia="楷体_GB2312"/>
                      <w:sz w:val="24"/>
                    </w:rPr>
                    <m:t>+5</m:t>
                  </m:r>
                  <m:ctrlPr>
                    <w:rPr>
                      <w:rFonts w:ascii="Cambria Math" w:hAnsi="Cambria Math" w:eastAsia="楷体_GB2312"/>
                      <w:sz w:val="24"/>
                    </w:rPr>
                  </m:ctrlPr>
                </m:sup>
              </m:sSubSup>
            </m:oMath>
            <w:r>
              <w:rPr>
                <w:rFonts w:hint="eastAsia" w:eastAsia="楷体_GB2312"/>
                <w:sz w:val="24"/>
              </w:rPr>
              <w:t>g</w:t>
            </w:r>
            <w:r>
              <w:rPr>
                <w:rFonts w:eastAsia="楷体_GB2312"/>
                <w:sz w:val="24"/>
              </w:rPr>
              <w:t>）</w:t>
            </w:r>
            <w:r>
              <w:rPr>
                <w:rFonts w:hint="eastAsia" w:eastAsia="楷体_GB2312"/>
                <w:sz w:val="24"/>
              </w:rPr>
              <w:t>。同时具备无碗不灌装功能，当某个灌装头对应位置出现空缺碗的时候该灌装头不打开。</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0" w:hRule="exact"/>
          <w:jc w:val="center"/>
        </w:trPr>
        <w:tc>
          <w:tcPr>
            <w:tcW w:w="389" w:type="pct"/>
            <w:vAlign w:val="center"/>
          </w:tcPr>
          <w:p>
            <w:pPr>
              <w:numPr>
                <w:ilvl w:val="1"/>
                <w:numId w:val="2"/>
              </w:numPr>
              <w:snapToGrid w:val="0"/>
              <w:jc w:val="center"/>
              <w:outlineLvl w:val="1"/>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应具备自动封口机构，当检测到罐装完成的碗进入封口工位时完成封口。封口过程不应出现碗身无刮花、变形等异常情况，封口质量应满足以下要求：卷边宽度（W）：2.70-3.00mm，卷边厚度（T）：1.30-1.50mm，身钩（BH）：1.80-2.20 mm，盖钩（CH）：1.70-2.10 mm，叠接长度（OL）：≥1.00 mm，叠接率（OL）：≥55%，紧密度（TR）：≥80%，身钩卷入率（BHB）、盖钩卷入率（CHB）：70%-95%。</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exact"/>
          <w:jc w:val="center"/>
        </w:trPr>
        <w:tc>
          <w:tcPr>
            <w:tcW w:w="389" w:type="pct"/>
            <w:vAlign w:val="center"/>
          </w:tcPr>
          <w:p>
            <w:pPr>
              <w:numPr>
                <w:ilvl w:val="1"/>
                <w:numId w:val="2"/>
              </w:numPr>
              <w:snapToGrid w:val="0"/>
              <w:jc w:val="center"/>
              <w:outlineLvl w:val="1"/>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设备封口机构应配备面盖存储机构，存储仓面盖最大存储量不低于500个，并具备最小量报警提示功能。</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exact"/>
          <w:jc w:val="center"/>
        </w:trPr>
        <w:tc>
          <w:tcPr>
            <w:tcW w:w="389" w:type="pct"/>
            <w:vAlign w:val="center"/>
          </w:tcPr>
          <w:p>
            <w:pPr>
              <w:numPr>
                <w:ilvl w:val="1"/>
                <w:numId w:val="2"/>
              </w:numPr>
              <w:snapToGrid w:val="0"/>
              <w:jc w:val="center"/>
              <w:outlineLvl w:val="1"/>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设备封口机构应配备无碗不封口功能，当检测到转盘某个工位出现缺碗的时候面盖不落下，不实施封口动作。</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exact"/>
          <w:jc w:val="center"/>
        </w:trPr>
        <w:tc>
          <w:tcPr>
            <w:tcW w:w="389" w:type="pct"/>
            <w:vAlign w:val="center"/>
          </w:tcPr>
          <w:p>
            <w:pPr>
              <w:numPr>
                <w:ilvl w:val="1"/>
                <w:numId w:val="2"/>
              </w:numPr>
              <w:snapToGrid w:val="0"/>
              <w:jc w:val="center"/>
              <w:outlineLvl w:val="1"/>
              <w:rPr>
                <w:rFonts w:eastAsia="楷体_GB2312"/>
                <w:sz w:val="24"/>
              </w:rPr>
            </w:pPr>
          </w:p>
        </w:tc>
        <w:tc>
          <w:tcPr>
            <w:tcW w:w="3046" w:type="pct"/>
            <w:vAlign w:val="center"/>
          </w:tcPr>
          <w:p>
            <w:pPr>
              <w:snapToGrid w:val="0"/>
              <w:rPr>
                <w:rFonts w:eastAsia="楷体_GB2312"/>
                <w:sz w:val="24"/>
              </w:rPr>
            </w:pPr>
            <w:r>
              <w:rPr>
                <w:rFonts w:hint="eastAsia" w:eastAsia="楷体_GB2312"/>
                <w:sz w:val="24"/>
              </w:rPr>
              <w:t>设备应具备半成品输出机构，可将完成封口的半成品输出至双钱公司现有输送带。</w:t>
            </w:r>
          </w:p>
        </w:tc>
        <w:tc>
          <w:tcPr>
            <w:tcW w:w="792" w:type="pct"/>
            <w:vAlign w:val="center"/>
          </w:tcPr>
          <w:p>
            <w:pPr>
              <w:snapToGrid w:val="0"/>
              <w:jc w:val="center"/>
              <w:rPr>
                <w:rFonts w:eastAsia="楷体_GB2312"/>
                <w:sz w:val="24"/>
              </w:rPr>
            </w:pPr>
            <w:r>
              <w:rPr>
                <w:rFonts w:hint="eastAsia" w:eastAsia="楷体_GB2312"/>
                <w:sz w:val="24"/>
              </w:rPr>
              <w:t>必需</w:t>
            </w:r>
          </w:p>
        </w:tc>
        <w:tc>
          <w:tcPr>
            <w:tcW w:w="773" w:type="pct"/>
          </w:tcPr>
          <w:p>
            <w:pPr>
              <w:snapToGrid w:val="0"/>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89" w:type="pct"/>
            <w:vAlign w:val="center"/>
          </w:tcPr>
          <w:p>
            <w:pPr>
              <w:snapToGrid w:val="0"/>
              <w:spacing w:line="276" w:lineRule="auto"/>
              <w:jc w:val="center"/>
              <w:outlineLvl w:val="1"/>
              <w:rPr>
                <w:rFonts w:eastAsia="楷体_GB2312"/>
                <w:sz w:val="24"/>
              </w:rPr>
            </w:pPr>
            <w:r>
              <w:rPr>
                <w:rFonts w:hint="eastAsia" w:eastAsia="楷体_GB2312"/>
                <w:sz w:val="24"/>
              </w:rPr>
              <w:t>3.9</w:t>
            </w:r>
          </w:p>
        </w:tc>
        <w:tc>
          <w:tcPr>
            <w:tcW w:w="3046" w:type="pct"/>
            <w:vAlign w:val="center"/>
          </w:tcPr>
          <w:p>
            <w:pPr>
              <w:snapToGrid w:val="0"/>
              <w:spacing w:line="276" w:lineRule="auto"/>
              <w:rPr>
                <w:rFonts w:eastAsia="楷体_GB2312"/>
                <w:sz w:val="24"/>
              </w:rPr>
            </w:pPr>
            <w:r>
              <w:rPr>
                <w:rFonts w:hint="eastAsia" w:eastAsia="楷体_GB2312"/>
                <w:sz w:val="24"/>
              </w:rPr>
              <w:t>设备能适应每天连续16～20小时不间断开机。</w:t>
            </w:r>
          </w:p>
        </w:tc>
        <w:tc>
          <w:tcPr>
            <w:tcW w:w="792" w:type="pct"/>
            <w:vAlign w:val="center"/>
          </w:tcPr>
          <w:p>
            <w:pPr>
              <w:snapToGrid w:val="0"/>
              <w:spacing w:line="276" w:lineRule="auto"/>
              <w:jc w:val="center"/>
              <w:rPr>
                <w:rFonts w:eastAsia="楷体_GB2312"/>
                <w:sz w:val="24"/>
              </w:rPr>
            </w:pPr>
            <w:r>
              <w:rPr>
                <w:rFonts w:hint="eastAsia"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exact"/>
          <w:jc w:val="center"/>
        </w:trPr>
        <w:tc>
          <w:tcPr>
            <w:tcW w:w="389" w:type="pct"/>
            <w:vAlign w:val="center"/>
          </w:tcPr>
          <w:p>
            <w:pPr>
              <w:snapToGrid w:val="0"/>
              <w:spacing w:line="276" w:lineRule="auto"/>
              <w:jc w:val="center"/>
              <w:outlineLvl w:val="1"/>
              <w:rPr>
                <w:rFonts w:eastAsia="楷体_GB2312"/>
                <w:sz w:val="24"/>
              </w:rPr>
            </w:pPr>
            <w:r>
              <w:rPr>
                <w:rFonts w:hint="eastAsia" w:eastAsia="楷体_GB2312"/>
                <w:sz w:val="24"/>
              </w:rPr>
              <w:t>3.10</w:t>
            </w:r>
          </w:p>
        </w:tc>
        <w:tc>
          <w:tcPr>
            <w:tcW w:w="3046" w:type="pct"/>
            <w:vAlign w:val="center"/>
          </w:tcPr>
          <w:p>
            <w:pPr>
              <w:snapToGrid w:val="0"/>
              <w:spacing w:line="276" w:lineRule="auto"/>
              <w:rPr>
                <w:rFonts w:eastAsia="楷体_GB2312"/>
                <w:sz w:val="24"/>
              </w:rPr>
            </w:pPr>
            <w:r>
              <w:rPr>
                <w:rFonts w:hint="eastAsia" w:eastAsia="楷体_GB2312"/>
                <w:sz w:val="24"/>
              </w:rPr>
              <w:t>全机为 S304 不锈钢与经阳极处理之高级铝合金制成。表面处理的部位或零件应色泽均匀，无起泡、起层、斑点、锈蚀等缺陷。</w:t>
            </w:r>
          </w:p>
        </w:tc>
        <w:tc>
          <w:tcPr>
            <w:tcW w:w="792" w:type="pct"/>
            <w:vAlign w:val="center"/>
          </w:tcPr>
          <w:p>
            <w:pPr>
              <w:snapToGrid w:val="0"/>
              <w:spacing w:line="276" w:lineRule="auto"/>
              <w:jc w:val="center"/>
              <w:rPr>
                <w:rFonts w:eastAsia="楷体_GB2312"/>
                <w:sz w:val="24"/>
              </w:rPr>
            </w:pPr>
            <w:r>
              <w:rPr>
                <w:rFonts w:hint="eastAsia"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exact"/>
          <w:jc w:val="center"/>
        </w:trPr>
        <w:tc>
          <w:tcPr>
            <w:tcW w:w="389" w:type="pct"/>
            <w:vAlign w:val="center"/>
          </w:tcPr>
          <w:p>
            <w:pPr>
              <w:snapToGrid w:val="0"/>
              <w:spacing w:line="276" w:lineRule="auto"/>
              <w:jc w:val="center"/>
              <w:outlineLvl w:val="1"/>
              <w:rPr>
                <w:rFonts w:eastAsia="楷体_GB2312"/>
                <w:sz w:val="24"/>
              </w:rPr>
            </w:pPr>
            <w:r>
              <w:rPr>
                <w:rFonts w:hint="eastAsia" w:eastAsia="楷体_GB2312"/>
                <w:sz w:val="24"/>
              </w:rPr>
              <w:t>3.11</w:t>
            </w:r>
          </w:p>
        </w:tc>
        <w:tc>
          <w:tcPr>
            <w:tcW w:w="3046" w:type="pct"/>
            <w:vAlign w:val="center"/>
          </w:tcPr>
          <w:p>
            <w:pPr>
              <w:snapToGrid w:val="0"/>
              <w:spacing w:line="276" w:lineRule="auto"/>
              <w:rPr>
                <w:rFonts w:eastAsia="楷体_GB2312"/>
                <w:sz w:val="24"/>
              </w:rPr>
            </w:pPr>
            <w:r>
              <w:rPr>
                <w:rFonts w:eastAsia="楷体_GB2312"/>
                <w:sz w:val="24"/>
              </w:rPr>
              <w:t>设备、附件和连接管线的材质和结构设计，须确保易拆装、无死角、易清洁。</w:t>
            </w:r>
          </w:p>
        </w:tc>
        <w:tc>
          <w:tcPr>
            <w:tcW w:w="792" w:type="pct"/>
            <w:vAlign w:val="center"/>
          </w:tcPr>
          <w:p>
            <w:pPr>
              <w:snapToGrid w:val="0"/>
              <w:spacing w:line="276" w:lineRule="auto"/>
              <w:jc w:val="center"/>
              <w:rPr>
                <w:rFonts w:eastAsia="楷体_GB2312"/>
                <w:sz w:val="24"/>
              </w:rPr>
            </w:pPr>
            <w:r>
              <w:rPr>
                <w:rFonts w:hint="eastAsia" w:eastAsia="楷体_GB2312"/>
                <w:sz w:val="24"/>
              </w:rPr>
              <w:t>必需</w:t>
            </w:r>
          </w:p>
        </w:tc>
        <w:tc>
          <w:tcPr>
            <w:tcW w:w="773" w:type="pct"/>
          </w:tcPr>
          <w:p>
            <w:pPr>
              <w:snapToGrid w:val="0"/>
              <w:spacing w:line="276"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exact"/>
          <w:jc w:val="center"/>
        </w:trPr>
        <w:tc>
          <w:tcPr>
            <w:tcW w:w="389" w:type="pct"/>
            <w:vAlign w:val="center"/>
          </w:tcPr>
          <w:p>
            <w:pPr>
              <w:snapToGrid w:val="0"/>
              <w:spacing w:line="276" w:lineRule="auto"/>
              <w:jc w:val="center"/>
              <w:outlineLvl w:val="1"/>
              <w:rPr>
                <w:rFonts w:eastAsia="楷体_GB2312"/>
                <w:sz w:val="24"/>
              </w:rPr>
            </w:pPr>
            <w:r>
              <w:rPr>
                <w:rFonts w:hint="eastAsia" w:eastAsia="楷体_GB2312"/>
                <w:sz w:val="24"/>
              </w:rPr>
              <w:t>3.12</w:t>
            </w:r>
          </w:p>
        </w:tc>
        <w:tc>
          <w:tcPr>
            <w:tcW w:w="3046" w:type="pct"/>
            <w:vAlign w:val="center"/>
          </w:tcPr>
          <w:p>
            <w:pPr>
              <w:snapToGrid w:val="0"/>
              <w:spacing w:line="276" w:lineRule="auto"/>
              <w:rPr>
                <w:rFonts w:eastAsia="楷体_GB2312"/>
                <w:sz w:val="24"/>
              </w:rPr>
            </w:pPr>
            <w:r>
              <w:rPr>
                <w:rFonts w:hint="eastAsia" w:eastAsia="楷体_GB2312"/>
                <w:sz w:val="24"/>
              </w:rPr>
              <w:t>要有设备铭牌，标明设备名称、生产日期、设备型号、厂家等信息。</w:t>
            </w:r>
          </w:p>
        </w:tc>
        <w:tc>
          <w:tcPr>
            <w:tcW w:w="792" w:type="pct"/>
            <w:vAlign w:val="center"/>
          </w:tcPr>
          <w:p>
            <w:pPr>
              <w:snapToGrid w:val="0"/>
              <w:spacing w:line="276" w:lineRule="auto"/>
              <w:jc w:val="center"/>
              <w:rPr>
                <w:rFonts w:eastAsia="楷体_GB2312"/>
                <w:sz w:val="24"/>
              </w:rPr>
            </w:pPr>
            <w:r>
              <w:rPr>
                <w:rFonts w:hint="eastAsia" w:eastAsia="楷体_GB2312"/>
                <w:sz w:val="24"/>
              </w:rPr>
              <w:t>必需</w:t>
            </w:r>
          </w:p>
        </w:tc>
        <w:tc>
          <w:tcPr>
            <w:tcW w:w="773" w:type="pct"/>
          </w:tcPr>
          <w:p>
            <w:pPr>
              <w:snapToGrid w:val="0"/>
              <w:spacing w:line="276" w:lineRule="auto"/>
              <w:jc w:val="center"/>
              <w:rPr>
                <w:rFonts w:eastAsia="楷体_GB2312"/>
                <w:sz w:val="24"/>
              </w:rPr>
            </w:pPr>
          </w:p>
        </w:tc>
      </w:tr>
    </w:tbl>
    <w:p>
      <w:pPr>
        <w:snapToGrid w:val="0"/>
        <w:spacing w:before="331" w:beforeLines="100" w:after="82" w:afterLines="25" w:line="276" w:lineRule="auto"/>
        <w:ind w:left="510"/>
        <w:outlineLvl w:val="0"/>
        <w:rPr>
          <w:rFonts w:hint="eastAsia" w:ascii="仿宋_GB2312" w:hAnsi="仿宋" w:eastAsia="仿宋_GB2312" w:cs="宋体"/>
          <w:b/>
          <w:sz w:val="32"/>
          <w:szCs w:val="32"/>
        </w:rPr>
      </w:pPr>
      <w:bookmarkStart w:id="22" w:name="_Toc513628068"/>
      <w:bookmarkStart w:id="23" w:name="_Toc522719326"/>
      <w:r>
        <w:rPr>
          <w:rFonts w:hint="eastAsia" w:ascii="仿宋_GB2312" w:hAnsi="仿宋" w:eastAsia="仿宋_GB2312" w:cs="宋体"/>
          <w:b/>
          <w:sz w:val="32"/>
          <w:szCs w:val="32"/>
        </w:rPr>
        <w:t>4.电气控制要求</w:t>
      </w:r>
      <w:bookmarkEnd w:id="22"/>
      <w:bookmarkEnd w:id="23"/>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5507"/>
        <w:gridCol w:w="1435"/>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ascii="楷体_GB2312" w:hAnsi="宋体" w:eastAsia="楷体_GB2312" w:cs="宋体"/>
                <w:sz w:val="24"/>
              </w:rPr>
              <w:t>序号</w:t>
            </w:r>
          </w:p>
        </w:tc>
        <w:tc>
          <w:tcPr>
            <w:tcW w:w="3039" w:type="pct"/>
            <w:vAlign w:val="center"/>
          </w:tcPr>
          <w:p>
            <w:pPr>
              <w:snapToGrid w:val="0"/>
              <w:spacing w:line="276" w:lineRule="auto"/>
              <w:jc w:val="center"/>
              <w:rPr>
                <w:rFonts w:hint="eastAsia" w:ascii="楷体_GB2312" w:hAnsi="宋体" w:eastAsia="楷体_GB2312"/>
                <w:sz w:val="24"/>
              </w:rPr>
            </w:pPr>
            <w:r>
              <w:rPr>
                <w:rFonts w:hint="eastAsia" w:ascii="楷体_GB2312" w:hAnsi="宋体" w:eastAsia="楷体_GB2312" w:cs="宋体"/>
                <w:sz w:val="24"/>
              </w:rPr>
              <w:t>需求内容</w:t>
            </w:r>
          </w:p>
        </w:tc>
        <w:tc>
          <w:tcPr>
            <w:tcW w:w="792" w:type="pct"/>
            <w:vAlign w:val="center"/>
          </w:tcPr>
          <w:p>
            <w:pPr>
              <w:snapToGrid w:val="0"/>
              <w:spacing w:line="276" w:lineRule="auto"/>
              <w:jc w:val="center"/>
              <w:rPr>
                <w:rFonts w:hint="eastAsia" w:ascii="楷体_GB2312" w:hAnsi="宋体" w:eastAsia="楷体_GB2312"/>
                <w:sz w:val="24"/>
              </w:rPr>
            </w:pPr>
            <w:r>
              <w:rPr>
                <w:rFonts w:hint="eastAsia" w:ascii="楷体_GB2312" w:hAnsi="宋体" w:eastAsia="楷体_GB2312" w:cs="宋体"/>
                <w:sz w:val="24"/>
              </w:rPr>
              <w:t>必需或期望</w:t>
            </w:r>
          </w:p>
        </w:tc>
        <w:tc>
          <w:tcPr>
            <w:tcW w:w="773" w:type="pct"/>
            <w:vAlign w:val="center"/>
          </w:tcPr>
          <w:p>
            <w:pPr>
              <w:snapToGrid w:val="0"/>
              <w:spacing w:line="276" w:lineRule="auto"/>
              <w:jc w:val="center"/>
              <w:rPr>
                <w:rFonts w:hint="eastAsia" w:ascii="楷体_GB2312" w:hAnsi="宋体" w:eastAsia="楷体_GB2312" w:cs="宋体"/>
                <w:sz w:val="24"/>
              </w:rPr>
            </w:pPr>
            <w:r>
              <w:rPr>
                <w:rFonts w:hint="eastAsia" w:ascii="楷体_GB2312" w:hAnsi="宋体" w:eastAsia="楷体_GB2312" w:cs="宋体"/>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eastAsia="楷体_GB2312"/>
                <w:sz w:val="24"/>
                <w:lang w:val="es-ES"/>
              </w:rPr>
              <w:t>4.1</w:t>
            </w:r>
          </w:p>
        </w:tc>
        <w:tc>
          <w:tcPr>
            <w:tcW w:w="3039" w:type="pct"/>
            <w:vAlign w:val="center"/>
          </w:tcPr>
          <w:p>
            <w:pPr>
              <w:snapToGrid w:val="0"/>
              <w:spacing w:line="276" w:lineRule="auto"/>
              <w:rPr>
                <w:rFonts w:hint="eastAsia" w:ascii="楷体_GB2312" w:hAnsi="宋体" w:eastAsia="楷体_GB2312"/>
                <w:sz w:val="24"/>
              </w:rPr>
            </w:pPr>
            <w:r>
              <w:rPr>
                <w:rFonts w:hint="eastAsia" w:ascii="楷体_GB2312" w:hAnsi="宋体" w:eastAsia="楷体_GB2312" w:cs="宋体"/>
                <w:sz w:val="24"/>
              </w:rPr>
              <w:t>设备供电应为</w:t>
            </w:r>
            <w:r>
              <w:rPr>
                <w:rFonts w:hint="eastAsia" w:eastAsia="楷体_GB2312"/>
                <w:sz w:val="24"/>
                <w:lang w:val="es-ES"/>
              </w:rPr>
              <w:t>220V</w:t>
            </w:r>
            <w:r>
              <w:rPr>
                <w:rFonts w:hint="eastAsia" w:ascii="楷体_GB2312" w:hAnsi="宋体" w:eastAsia="楷体_GB2312" w:cs="宋体"/>
                <w:sz w:val="24"/>
              </w:rPr>
              <w:t>或</w:t>
            </w:r>
            <w:r>
              <w:rPr>
                <w:rFonts w:hint="eastAsia" w:eastAsia="楷体_GB2312"/>
                <w:sz w:val="24"/>
                <w:lang w:val="es-ES"/>
              </w:rPr>
              <w:t>380v</w:t>
            </w:r>
            <w:r>
              <w:rPr>
                <w:rFonts w:hint="eastAsia" w:ascii="楷体_GB2312" w:hAnsi="宋体" w:eastAsia="楷体_GB2312" w:cs="宋体"/>
                <w:sz w:val="24"/>
              </w:rPr>
              <w:t>，具有接地线和中性线，有明显警示标识。</w:t>
            </w:r>
          </w:p>
        </w:tc>
        <w:tc>
          <w:tcPr>
            <w:tcW w:w="792" w:type="pct"/>
            <w:vAlign w:val="center"/>
          </w:tcPr>
          <w:p>
            <w:pPr>
              <w:snapToGrid w:val="0"/>
              <w:spacing w:line="276" w:lineRule="auto"/>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spacing w:line="276" w:lineRule="auto"/>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eastAsia="楷体_GB2312"/>
                <w:sz w:val="24"/>
                <w:lang w:val="es-ES"/>
              </w:rPr>
              <w:t>4.2</w:t>
            </w:r>
          </w:p>
        </w:tc>
        <w:tc>
          <w:tcPr>
            <w:tcW w:w="3039" w:type="pct"/>
            <w:vAlign w:val="center"/>
          </w:tcPr>
          <w:p>
            <w:pPr>
              <w:snapToGrid w:val="0"/>
              <w:spacing w:line="276" w:lineRule="auto"/>
              <w:rPr>
                <w:rFonts w:hint="eastAsia" w:ascii="楷体_GB2312" w:hAnsi="宋体" w:eastAsia="楷体_GB2312"/>
                <w:sz w:val="24"/>
              </w:rPr>
            </w:pPr>
            <w:r>
              <w:rPr>
                <w:rFonts w:hint="eastAsia" w:ascii="楷体_GB2312" w:hAnsi="宋体" w:eastAsia="楷体_GB2312"/>
                <w:sz w:val="24"/>
              </w:rPr>
              <w:t>设备操作系统应采用触摸屏操作系统，触摸屏、</w:t>
            </w:r>
            <w:r>
              <w:rPr>
                <w:rFonts w:hint="eastAsia" w:eastAsia="楷体_GB2312"/>
                <w:sz w:val="24"/>
                <w:lang w:val="es-ES"/>
              </w:rPr>
              <w:t>PLC</w:t>
            </w:r>
            <w:r>
              <w:rPr>
                <w:rFonts w:hint="eastAsia" w:ascii="楷体_GB2312" w:hAnsi="宋体" w:eastAsia="楷体_GB2312"/>
                <w:sz w:val="24"/>
              </w:rPr>
              <w:t>及模块应采用西门子、三菱、欧姆龙或同等知名品牌。</w:t>
            </w:r>
          </w:p>
        </w:tc>
        <w:tc>
          <w:tcPr>
            <w:tcW w:w="792" w:type="pct"/>
            <w:vAlign w:val="center"/>
          </w:tcPr>
          <w:p>
            <w:pPr>
              <w:snapToGrid w:val="0"/>
              <w:spacing w:line="276" w:lineRule="auto"/>
              <w:jc w:val="center"/>
              <w:rPr>
                <w:rFonts w:hint="eastAsia" w:ascii="楷体_GB2312" w:hAnsi="宋体" w:eastAsia="楷体_GB2312" w:cs="宋体"/>
                <w:sz w:val="24"/>
              </w:rPr>
            </w:pPr>
            <w:r>
              <w:rPr>
                <w:rFonts w:hint="eastAsia" w:ascii="楷体_GB2312" w:hAnsi="宋体" w:eastAsia="楷体_GB2312" w:cs="宋体"/>
                <w:b/>
                <w:bCs/>
                <w:sz w:val="24"/>
              </w:rPr>
              <w:t>▲</w:t>
            </w:r>
            <w:r>
              <w:rPr>
                <w:rFonts w:hint="eastAsia" w:ascii="楷体_GB2312" w:hAnsi="宋体" w:eastAsia="楷体_GB2312" w:cs="宋体"/>
                <w:sz w:val="24"/>
              </w:rPr>
              <w:t>必需</w:t>
            </w:r>
          </w:p>
        </w:tc>
        <w:tc>
          <w:tcPr>
            <w:tcW w:w="773" w:type="pct"/>
          </w:tcPr>
          <w:p>
            <w:pPr>
              <w:snapToGrid w:val="0"/>
              <w:spacing w:line="276" w:lineRule="auto"/>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1"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eastAsia="楷体_GB2312"/>
                <w:sz w:val="24"/>
                <w:lang w:val="es-ES"/>
              </w:rPr>
              <w:t>4.3</w:t>
            </w:r>
          </w:p>
        </w:tc>
        <w:tc>
          <w:tcPr>
            <w:tcW w:w="3039" w:type="pct"/>
            <w:vAlign w:val="center"/>
          </w:tcPr>
          <w:p>
            <w:pPr>
              <w:rPr>
                <w:rFonts w:hint="eastAsia" w:ascii="楷体_GB2312" w:hAnsi="宋体" w:eastAsia="楷体_GB2312"/>
                <w:sz w:val="24"/>
              </w:rPr>
            </w:pPr>
            <w:r>
              <w:rPr>
                <w:rFonts w:hint="eastAsia" w:ascii="楷体_GB2312" w:hAnsi="宋体" w:eastAsia="楷体_GB2312"/>
                <w:sz w:val="24"/>
              </w:rPr>
              <w:t>元器件要求：</w:t>
            </w:r>
          </w:p>
          <w:p>
            <w:pPr>
              <w:pStyle w:val="77"/>
              <w:numPr>
                <w:ilvl w:val="0"/>
                <w:numId w:val="3"/>
              </w:numPr>
              <w:ind w:firstLineChars="0"/>
              <w:rPr>
                <w:rFonts w:hint="eastAsia" w:ascii="楷体_GB2312" w:hAnsi="宋体" w:eastAsia="楷体_GB2312"/>
                <w:sz w:val="24"/>
                <w:szCs w:val="24"/>
              </w:rPr>
            </w:pPr>
            <w:r>
              <w:rPr>
                <w:rFonts w:hint="eastAsia" w:ascii="楷体_GB2312" w:hAnsi="宋体" w:eastAsia="楷体_GB2312"/>
                <w:sz w:val="24"/>
                <w:szCs w:val="24"/>
              </w:rPr>
              <w:t>空气开关、接触器、继电器选择西门子、施耐德、</w:t>
            </w:r>
            <w:r>
              <w:rPr>
                <w:rFonts w:hint="eastAsia" w:ascii="Times New Roman" w:hAnsi="Times New Roman" w:eastAsia="楷体_GB2312"/>
                <w:sz w:val="24"/>
                <w:szCs w:val="24"/>
                <w:lang w:val="es-ES"/>
              </w:rPr>
              <w:t>ABB</w:t>
            </w:r>
            <w:r>
              <w:rPr>
                <w:rFonts w:hint="eastAsia" w:ascii="楷体_GB2312" w:hAnsi="宋体" w:eastAsia="楷体_GB2312"/>
                <w:sz w:val="24"/>
                <w:szCs w:val="24"/>
              </w:rPr>
              <w:t>或同等知名品牌；</w:t>
            </w:r>
          </w:p>
          <w:p>
            <w:pPr>
              <w:pStyle w:val="77"/>
              <w:numPr>
                <w:ilvl w:val="0"/>
                <w:numId w:val="3"/>
              </w:numPr>
              <w:ind w:firstLineChars="0"/>
              <w:rPr>
                <w:rFonts w:hint="eastAsia" w:ascii="楷体_GB2312" w:hAnsi="宋体" w:eastAsia="楷体_GB2312"/>
                <w:sz w:val="24"/>
                <w:szCs w:val="24"/>
              </w:rPr>
            </w:pPr>
            <w:r>
              <w:rPr>
                <w:rFonts w:hint="eastAsia" w:ascii="楷体_GB2312" w:hAnsi="宋体" w:eastAsia="楷体_GB2312"/>
                <w:sz w:val="24"/>
                <w:szCs w:val="24"/>
              </w:rPr>
              <w:t>气缸、气动元件选择</w:t>
            </w:r>
            <w:r>
              <w:rPr>
                <w:rFonts w:hint="eastAsia" w:ascii="Times New Roman" w:hAnsi="Times New Roman" w:eastAsia="楷体_GB2312"/>
                <w:sz w:val="24"/>
                <w:szCs w:val="24"/>
                <w:lang w:val="es-ES"/>
              </w:rPr>
              <w:t>SMC、FESTO</w:t>
            </w:r>
            <w:r>
              <w:rPr>
                <w:rFonts w:hint="eastAsia" w:ascii="楷体_GB2312" w:hAnsi="宋体" w:eastAsia="楷体_GB2312"/>
                <w:sz w:val="24"/>
                <w:szCs w:val="24"/>
              </w:rPr>
              <w:t>、亚德客或同等知名品牌；</w:t>
            </w:r>
          </w:p>
          <w:p>
            <w:pPr>
              <w:pStyle w:val="77"/>
              <w:numPr>
                <w:ilvl w:val="0"/>
                <w:numId w:val="3"/>
              </w:numPr>
              <w:ind w:firstLineChars="0"/>
              <w:rPr>
                <w:rFonts w:hint="eastAsia" w:ascii="楷体_GB2312" w:hAnsi="宋体" w:eastAsia="楷体_GB2312"/>
                <w:sz w:val="24"/>
                <w:szCs w:val="24"/>
              </w:rPr>
            </w:pPr>
            <w:r>
              <w:rPr>
                <w:rFonts w:hint="eastAsia" w:ascii="楷体_GB2312" w:hAnsi="宋体" w:eastAsia="楷体_GB2312"/>
                <w:sz w:val="24"/>
                <w:szCs w:val="24"/>
              </w:rPr>
              <w:t>光电传感器选用</w:t>
            </w:r>
            <w:r>
              <w:rPr>
                <w:rFonts w:hint="eastAsia" w:ascii="Times New Roman" w:hAnsi="Times New Roman" w:eastAsia="楷体_GB2312"/>
                <w:sz w:val="24"/>
                <w:szCs w:val="24"/>
                <w:lang w:val="es-ES"/>
              </w:rPr>
              <w:t>Sick、Omron、</w:t>
            </w:r>
            <w:r>
              <w:rPr>
                <w:rFonts w:hint="eastAsia" w:ascii="楷体_GB2312" w:hAnsi="宋体" w:eastAsia="楷体_GB2312"/>
                <w:sz w:val="24"/>
                <w:szCs w:val="24"/>
              </w:rPr>
              <w:t>松下等进口或同等知名品牌。</w:t>
            </w:r>
          </w:p>
        </w:tc>
        <w:tc>
          <w:tcPr>
            <w:tcW w:w="792" w:type="pct"/>
            <w:vAlign w:val="center"/>
          </w:tcPr>
          <w:p>
            <w:pPr>
              <w:snapToGrid w:val="0"/>
              <w:spacing w:line="276" w:lineRule="auto"/>
              <w:jc w:val="center"/>
              <w:rPr>
                <w:rFonts w:hint="eastAsia" w:ascii="楷体_GB2312" w:hAnsi="宋体" w:eastAsia="楷体_GB2312" w:cs="宋体"/>
                <w:sz w:val="24"/>
              </w:rPr>
            </w:pPr>
            <w:r>
              <w:rPr>
                <w:rFonts w:hint="eastAsia" w:ascii="楷体_GB2312" w:hAnsi="宋体" w:eastAsia="楷体_GB2312" w:cs="宋体"/>
                <w:b/>
                <w:bCs/>
                <w:sz w:val="24"/>
              </w:rPr>
              <w:t>▲</w:t>
            </w:r>
            <w:r>
              <w:rPr>
                <w:rFonts w:hint="eastAsia" w:ascii="楷体_GB2312" w:hAnsi="宋体" w:eastAsia="楷体_GB2312" w:cs="宋体"/>
                <w:sz w:val="24"/>
              </w:rPr>
              <w:t>必需</w:t>
            </w:r>
          </w:p>
        </w:tc>
        <w:tc>
          <w:tcPr>
            <w:tcW w:w="773" w:type="pct"/>
          </w:tcPr>
          <w:p>
            <w:pPr>
              <w:snapToGrid w:val="0"/>
              <w:spacing w:line="276" w:lineRule="auto"/>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eastAsia="楷体_GB2312"/>
                <w:sz w:val="24"/>
                <w:lang w:val="es-ES"/>
              </w:rPr>
              <w:t>4.4</w:t>
            </w:r>
          </w:p>
        </w:tc>
        <w:tc>
          <w:tcPr>
            <w:tcW w:w="3039" w:type="pct"/>
            <w:vAlign w:val="center"/>
          </w:tcPr>
          <w:p>
            <w:pPr>
              <w:snapToGrid w:val="0"/>
              <w:spacing w:line="276" w:lineRule="auto"/>
              <w:rPr>
                <w:rFonts w:hint="eastAsia" w:ascii="楷体_GB2312" w:hAnsi="宋体" w:eastAsia="楷体_GB2312"/>
                <w:sz w:val="24"/>
              </w:rPr>
            </w:pPr>
            <w:r>
              <w:rPr>
                <w:rFonts w:hint="eastAsia" w:ascii="楷体_GB2312" w:hAnsi="宋体" w:eastAsia="楷体_GB2312" w:cs="宋体"/>
                <w:sz w:val="24"/>
              </w:rPr>
              <w:t>应提供</w:t>
            </w:r>
            <w:r>
              <w:rPr>
                <w:rFonts w:hint="eastAsia" w:eastAsia="楷体_GB2312"/>
                <w:sz w:val="24"/>
                <w:lang w:val="es-ES"/>
              </w:rPr>
              <w:t>PLC</w:t>
            </w:r>
            <w:r>
              <w:rPr>
                <w:rFonts w:hint="eastAsia" w:ascii="楷体_GB2312" w:hAnsi="宋体" w:eastAsia="楷体_GB2312" w:cs="宋体"/>
                <w:sz w:val="24"/>
              </w:rPr>
              <w:t>程序及触摸屏参数相应控制程序的备份文件,数据储存时间</w:t>
            </w:r>
            <w:r>
              <w:rPr>
                <w:rFonts w:hint="eastAsia" w:ascii="楷体_GB2312" w:hAnsi="宋体" w:eastAsia="楷体_GB2312"/>
                <w:sz w:val="24"/>
                <w:lang w:val="es-ES"/>
              </w:rPr>
              <w:t>≥</w:t>
            </w:r>
            <w:r>
              <w:rPr>
                <w:rFonts w:hint="eastAsia" w:eastAsia="楷体_GB2312"/>
                <w:sz w:val="24"/>
                <w:lang w:val="es-ES"/>
              </w:rPr>
              <w:t>90</w:t>
            </w:r>
            <w:r>
              <w:rPr>
                <w:rFonts w:hint="eastAsia" w:ascii="楷体_GB2312" w:hAnsi="宋体" w:eastAsia="楷体_GB2312"/>
                <w:sz w:val="24"/>
                <w:lang w:val="es-ES"/>
              </w:rPr>
              <w:t>天</w:t>
            </w:r>
          </w:p>
        </w:tc>
        <w:tc>
          <w:tcPr>
            <w:tcW w:w="792" w:type="pct"/>
            <w:vAlign w:val="center"/>
          </w:tcPr>
          <w:p>
            <w:pPr>
              <w:snapToGrid w:val="0"/>
              <w:spacing w:line="276" w:lineRule="auto"/>
              <w:jc w:val="center"/>
              <w:rPr>
                <w:rFonts w:hint="eastAsia" w:ascii="楷体_GB2312" w:hAnsi="宋体" w:eastAsia="楷体_GB2312" w:cs="宋体"/>
                <w:sz w:val="24"/>
              </w:rPr>
            </w:pPr>
            <w:r>
              <w:rPr>
                <w:rFonts w:hint="eastAsia" w:ascii="楷体_GB2312" w:hAnsi="宋体" w:eastAsia="楷体_GB2312" w:cs="宋体"/>
                <w:b/>
                <w:bCs/>
                <w:sz w:val="24"/>
              </w:rPr>
              <w:t>▲</w:t>
            </w:r>
            <w:r>
              <w:rPr>
                <w:rFonts w:hint="eastAsia" w:ascii="楷体_GB2312" w:hAnsi="宋体" w:eastAsia="楷体_GB2312" w:cs="宋体"/>
                <w:sz w:val="24"/>
              </w:rPr>
              <w:t>必需</w:t>
            </w:r>
          </w:p>
        </w:tc>
        <w:tc>
          <w:tcPr>
            <w:tcW w:w="773" w:type="pct"/>
          </w:tcPr>
          <w:p>
            <w:pPr>
              <w:snapToGrid w:val="0"/>
              <w:spacing w:line="276" w:lineRule="auto"/>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eastAsia="楷体_GB2312"/>
                <w:sz w:val="24"/>
                <w:lang w:val="es-ES"/>
              </w:rPr>
              <w:t>4.5</w:t>
            </w:r>
          </w:p>
        </w:tc>
        <w:tc>
          <w:tcPr>
            <w:tcW w:w="3039" w:type="pct"/>
            <w:vAlign w:val="center"/>
          </w:tcPr>
          <w:p>
            <w:pPr>
              <w:snapToGrid w:val="0"/>
              <w:spacing w:line="276" w:lineRule="auto"/>
              <w:rPr>
                <w:rFonts w:hint="eastAsia" w:ascii="楷体_GB2312" w:hAnsi="宋体" w:eastAsia="楷体_GB2312"/>
                <w:sz w:val="24"/>
              </w:rPr>
            </w:pPr>
            <w:r>
              <w:rPr>
                <w:rFonts w:hint="eastAsia" w:ascii="楷体_GB2312" w:hAnsi="宋体" w:eastAsia="楷体_GB2312"/>
                <w:sz w:val="24"/>
              </w:rPr>
              <w:t>设备参数设置、修改实现密码管理，不得设置设备自锁密码。</w:t>
            </w:r>
          </w:p>
        </w:tc>
        <w:tc>
          <w:tcPr>
            <w:tcW w:w="792" w:type="pct"/>
            <w:vAlign w:val="center"/>
          </w:tcPr>
          <w:p>
            <w:pPr>
              <w:snapToGrid w:val="0"/>
              <w:spacing w:line="276" w:lineRule="auto"/>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spacing w:line="276" w:lineRule="auto"/>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8"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eastAsia="楷体_GB2312"/>
                <w:sz w:val="24"/>
                <w:lang w:val="es-ES"/>
              </w:rPr>
              <w:t>4.6</w:t>
            </w:r>
          </w:p>
        </w:tc>
        <w:tc>
          <w:tcPr>
            <w:tcW w:w="3039" w:type="pct"/>
            <w:vAlign w:val="center"/>
          </w:tcPr>
          <w:p>
            <w:pPr>
              <w:snapToGrid w:val="0"/>
              <w:spacing w:line="276" w:lineRule="auto"/>
              <w:rPr>
                <w:rFonts w:hint="eastAsia" w:ascii="楷体_GB2312" w:hAnsi="宋体" w:eastAsia="楷体_GB2312"/>
                <w:sz w:val="24"/>
              </w:rPr>
            </w:pPr>
            <w:r>
              <w:rPr>
                <w:rFonts w:hint="eastAsia" w:ascii="楷体_GB2312" w:hAnsi="宋体" w:eastAsia="楷体_GB2312" w:cs="宋体"/>
                <w:sz w:val="24"/>
              </w:rPr>
              <w:t>设备运行出现故障报警时，能在人机界面显示故障原因及部位；</w:t>
            </w:r>
          </w:p>
        </w:tc>
        <w:tc>
          <w:tcPr>
            <w:tcW w:w="792" w:type="pct"/>
            <w:vAlign w:val="center"/>
          </w:tcPr>
          <w:p>
            <w:pPr>
              <w:snapToGrid w:val="0"/>
              <w:spacing w:line="276" w:lineRule="auto"/>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spacing w:line="276" w:lineRule="auto"/>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exact"/>
          <w:jc w:val="center"/>
        </w:trPr>
        <w:tc>
          <w:tcPr>
            <w:tcW w:w="396" w:type="pct"/>
            <w:vAlign w:val="center"/>
          </w:tcPr>
          <w:p>
            <w:pPr>
              <w:snapToGrid w:val="0"/>
              <w:spacing w:line="276" w:lineRule="auto"/>
              <w:jc w:val="center"/>
              <w:rPr>
                <w:rFonts w:hint="eastAsia" w:ascii="楷体_GB2312" w:hAnsi="宋体" w:eastAsia="楷体_GB2312"/>
                <w:sz w:val="24"/>
              </w:rPr>
            </w:pPr>
            <w:r>
              <w:rPr>
                <w:rFonts w:hint="eastAsia" w:eastAsia="楷体_GB2312"/>
                <w:sz w:val="24"/>
                <w:lang w:val="es-ES"/>
              </w:rPr>
              <w:t>4.7</w:t>
            </w:r>
          </w:p>
        </w:tc>
        <w:tc>
          <w:tcPr>
            <w:tcW w:w="3039" w:type="pct"/>
            <w:vAlign w:val="center"/>
          </w:tcPr>
          <w:p>
            <w:pPr>
              <w:snapToGrid w:val="0"/>
              <w:spacing w:line="276" w:lineRule="auto"/>
              <w:rPr>
                <w:rFonts w:hint="eastAsia" w:ascii="楷体_GB2312" w:hAnsi="宋体" w:eastAsia="楷体_GB2312"/>
                <w:sz w:val="24"/>
              </w:rPr>
            </w:pPr>
            <w:r>
              <w:rPr>
                <w:rFonts w:hint="eastAsia" w:ascii="楷体_GB2312" w:hAnsi="宋体" w:eastAsia="楷体_GB2312"/>
                <w:sz w:val="24"/>
              </w:rPr>
              <w:t>控制柜内部线路应走线槽，所有电缆两端需有标号，必须布置合理、美观。</w:t>
            </w:r>
          </w:p>
        </w:tc>
        <w:tc>
          <w:tcPr>
            <w:tcW w:w="792" w:type="pct"/>
            <w:vAlign w:val="center"/>
          </w:tcPr>
          <w:p>
            <w:pPr>
              <w:snapToGrid w:val="0"/>
              <w:spacing w:line="276" w:lineRule="auto"/>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spacing w:line="276" w:lineRule="auto"/>
              <w:jc w:val="center"/>
              <w:rPr>
                <w:rFonts w:hint="eastAsia" w:ascii="楷体_GB2312" w:hAnsi="宋体" w:eastAsia="楷体_GB2312" w:cs="宋体"/>
                <w:sz w:val="24"/>
              </w:rPr>
            </w:pPr>
          </w:p>
        </w:tc>
      </w:tr>
    </w:tbl>
    <w:p>
      <w:pPr>
        <w:snapToGrid w:val="0"/>
        <w:spacing w:line="560" w:lineRule="exact"/>
        <w:ind w:firstLine="643" w:firstLineChars="200"/>
        <w:outlineLvl w:val="0"/>
        <w:rPr>
          <w:rFonts w:eastAsia="仿宋_GB2312"/>
          <w:b/>
          <w:sz w:val="32"/>
          <w:szCs w:val="32"/>
        </w:rPr>
      </w:pPr>
      <w:bookmarkStart w:id="24" w:name="_Toc513628070"/>
      <w:bookmarkStart w:id="25" w:name="_Toc522719327"/>
      <w:r>
        <w:rPr>
          <w:rFonts w:hint="eastAsia" w:eastAsia="仿宋_GB2312"/>
          <w:b/>
          <w:sz w:val="32"/>
          <w:szCs w:val="32"/>
        </w:rPr>
        <w:t>5.安装要求</w:t>
      </w:r>
      <w:bookmarkEnd w:id="24"/>
      <w:bookmarkEnd w:id="25"/>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5499"/>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40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序号</w:t>
            </w:r>
          </w:p>
        </w:tc>
        <w:tc>
          <w:tcPr>
            <w:tcW w:w="3035"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需求内容</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必需或期望</w:t>
            </w:r>
          </w:p>
        </w:tc>
        <w:tc>
          <w:tcPr>
            <w:tcW w:w="773"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exact"/>
          <w:jc w:val="center"/>
        </w:trPr>
        <w:tc>
          <w:tcPr>
            <w:tcW w:w="401" w:type="pct"/>
            <w:vAlign w:val="center"/>
          </w:tcPr>
          <w:p>
            <w:pPr>
              <w:snapToGrid w:val="0"/>
              <w:jc w:val="center"/>
              <w:rPr>
                <w:rFonts w:hint="eastAsia" w:ascii="楷体_GB2312" w:hAnsi="宋体" w:eastAsia="楷体_GB2312"/>
                <w:sz w:val="24"/>
              </w:rPr>
            </w:pPr>
            <w:r>
              <w:rPr>
                <w:rFonts w:hint="eastAsia" w:eastAsia="楷体_GB2312"/>
                <w:sz w:val="24"/>
              </w:rPr>
              <w:t>5.1</w:t>
            </w:r>
          </w:p>
        </w:tc>
        <w:tc>
          <w:tcPr>
            <w:tcW w:w="3035" w:type="pct"/>
            <w:vAlign w:val="center"/>
          </w:tcPr>
          <w:p>
            <w:pPr>
              <w:tabs>
                <w:tab w:val="left" w:pos="360"/>
                <w:tab w:val="left" w:pos="443"/>
              </w:tabs>
              <w:snapToGrid w:val="0"/>
              <w:rPr>
                <w:rFonts w:hint="eastAsia" w:ascii="楷体_GB2312" w:hAnsi="宋体" w:eastAsia="楷体_GB2312"/>
                <w:sz w:val="24"/>
              </w:rPr>
            </w:pPr>
            <w:r>
              <w:rPr>
                <w:rFonts w:hint="eastAsia" w:ascii="楷体_GB2312" w:hAnsi="宋体" w:eastAsia="楷体_GB2312"/>
                <w:sz w:val="24"/>
              </w:rPr>
              <w:t>设备进场安装时厂家必需有项目工程师在场协调工作。</w:t>
            </w:r>
          </w:p>
        </w:tc>
        <w:tc>
          <w:tcPr>
            <w:tcW w:w="791" w:type="pct"/>
            <w:vAlign w:val="center"/>
          </w:tcPr>
          <w:p>
            <w:pPr>
              <w:tabs>
                <w:tab w:val="left" w:pos="360"/>
                <w:tab w:val="left" w:pos="443"/>
              </w:tabs>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tabs>
                <w:tab w:val="left" w:pos="360"/>
                <w:tab w:val="left" w:pos="443"/>
              </w:tabs>
              <w:snapToGrid w:val="0"/>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exact"/>
          <w:jc w:val="center"/>
        </w:trPr>
        <w:tc>
          <w:tcPr>
            <w:tcW w:w="401" w:type="pct"/>
            <w:vAlign w:val="center"/>
          </w:tcPr>
          <w:p>
            <w:pPr>
              <w:snapToGrid w:val="0"/>
              <w:jc w:val="center"/>
              <w:rPr>
                <w:rFonts w:hint="eastAsia" w:ascii="楷体_GB2312" w:hAnsi="宋体" w:eastAsia="楷体_GB2312"/>
                <w:sz w:val="24"/>
              </w:rPr>
            </w:pPr>
            <w:r>
              <w:rPr>
                <w:rFonts w:hint="eastAsia" w:eastAsia="楷体_GB2312"/>
                <w:sz w:val="24"/>
              </w:rPr>
              <w:t>5.2</w:t>
            </w:r>
          </w:p>
        </w:tc>
        <w:tc>
          <w:tcPr>
            <w:tcW w:w="3035" w:type="pct"/>
            <w:vAlign w:val="center"/>
          </w:tcPr>
          <w:p>
            <w:pPr>
              <w:tabs>
                <w:tab w:val="left" w:pos="360"/>
                <w:tab w:val="left" w:pos="443"/>
              </w:tabs>
              <w:snapToGrid w:val="0"/>
              <w:rPr>
                <w:rFonts w:hint="eastAsia" w:ascii="楷体_GB2312" w:hAnsi="宋体" w:eastAsia="楷体_GB2312"/>
                <w:sz w:val="24"/>
              </w:rPr>
            </w:pPr>
            <w:r>
              <w:rPr>
                <w:rFonts w:hint="eastAsia" w:ascii="楷体_GB2312" w:hAnsi="宋体" w:eastAsia="楷体_GB2312"/>
                <w:sz w:val="24"/>
              </w:rPr>
              <w:t>按照协定的标准和规范列出验收和检测项目进行现场验收。</w:t>
            </w:r>
          </w:p>
        </w:tc>
        <w:tc>
          <w:tcPr>
            <w:tcW w:w="791" w:type="pct"/>
            <w:vAlign w:val="center"/>
          </w:tcPr>
          <w:p>
            <w:pPr>
              <w:tabs>
                <w:tab w:val="left" w:pos="360"/>
                <w:tab w:val="left" w:pos="443"/>
              </w:tabs>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tabs>
                <w:tab w:val="left" w:pos="360"/>
                <w:tab w:val="left" w:pos="443"/>
              </w:tabs>
              <w:snapToGrid w:val="0"/>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2" w:hRule="exact"/>
          <w:jc w:val="center"/>
        </w:trPr>
        <w:tc>
          <w:tcPr>
            <w:tcW w:w="401" w:type="pct"/>
            <w:vAlign w:val="center"/>
          </w:tcPr>
          <w:p>
            <w:pPr>
              <w:snapToGrid w:val="0"/>
              <w:jc w:val="center"/>
              <w:rPr>
                <w:rFonts w:hint="eastAsia" w:ascii="楷体_GB2312" w:hAnsi="宋体" w:eastAsia="楷体_GB2312"/>
                <w:sz w:val="24"/>
              </w:rPr>
            </w:pPr>
            <w:r>
              <w:rPr>
                <w:rFonts w:hint="eastAsia" w:eastAsia="楷体_GB2312"/>
                <w:sz w:val="24"/>
              </w:rPr>
              <w:t>5.3</w:t>
            </w:r>
          </w:p>
        </w:tc>
        <w:tc>
          <w:tcPr>
            <w:tcW w:w="3035" w:type="pct"/>
            <w:vAlign w:val="center"/>
          </w:tcPr>
          <w:p>
            <w:pPr>
              <w:tabs>
                <w:tab w:val="left" w:pos="360"/>
                <w:tab w:val="left" w:pos="443"/>
              </w:tabs>
              <w:snapToGrid w:val="0"/>
              <w:rPr>
                <w:rFonts w:hint="eastAsia" w:ascii="楷体_GB2312" w:hAnsi="宋体" w:eastAsia="楷体_GB2312"/>
                <w:sz w:val="24"/>
              </w:rPr>
            </w:pPr>
            <w:r>
              <w:rPr>
                <w:rFonts w:hint="eastAsia" w:ascii="楷体_GB2312" w:hAnsi="宋体" w:eastAsia="楷体_GB2312"/>
                <w:sz w:val="24"/>
              </w:rPr>
              <w:t>如果调试结果不合格，乙方要采取措施并在甲方要求的时间内尽快调试合格，因延后使甲方造成的任何直接和间接损失由乙方承担。</w:t>
            </w:r>
          </w:p>
        </w:tc>
        <w:tc>
          <w:tcPr>
            <w:tcW w:w="791" w:type="pct"/>
            <w:vAlign w:val="center"/>
          </w:tcPr>
          <w:p>
            <w:pPr>
              <w:tabs>
                <w:tab w:val="left" w:pos="360"/>
                <w:tab w:val="left" w:pos="443"/>
              </w:tabs>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tabs>
                <w:tab w:val="left" w:pos="360"/>
                <w:tab w:val="left" w:pos="443"/>
              </w:tabs>
              <w:snapToGrid w:val="0"/>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exact"/>
          <w:jc w:val="center"/>
        </w:trPr>
        <w:tc>
          <w:tcPr>
            <w:tcW w:w="401" w:type="pct"/>
            <w:vAlign w:val="center"/>
          </w:tcPr>
          <w:p>
            <w:pPr>
              <w:snapToGrid w:val="0"/>
              <w:jc w:val="center"/>
              <w:rPr>
                <w:rFonts w:hint="eastAsia" w:ascii="楷体_GB2312" w:hAnsi="宋体" w:eastAsia="楷体_GB2312"/>
                <w:sz w:val="24"/>
              </w:rPr>
            </w:pPr>
            <w:r>
              <w:rPr>
                <w:rFonts w:hint="eastAsia" w:eastAsia="楷体_GB2312"/>
                <w:sz w:val="24"/>
              </w:rPr>
              <w:t>5.4</w:t>
            </w:r>
          </w:p>
        </w:tc>
        <w:tc>
          <w:tcPr>
            <w:tcW w:w="3035" w:type="pct"/>
            <w:vAlign w:val="center"/>
          </w:tcPr>
          <w:p>
            <w:pPr>
              <w:tabs>
                <w:tab w:val="left" w:pos="360"/>
                <w:tab w:val="left" w:pos="443"/>
              </w:tabs>
              <w:snapToGrid w:val="0"/>
              <w:rPr>
                <w:rFonts w:hint="eastAsia" w:ascii="楷体_GB2312" w:hAnsi="宋体" w:eastAsia="楷体_GB2312"/>
                <w:sz w:val="24"/>
              </w:rPr>
            </w:pPr>
            <w:r>
              <w:rPr>
                <w:rFonts w:hint="eastAsia" w:ascii="楷体_GB2312" w:hAnsi="宋体" w:eastAsia="楷体_GB2312" w:cs="宋体"/>
                <w:sz w:val="24"/>
              </w:rPr>
              <w:t>随机提供一套设备调整专用工具。</w:t>
            </w:r>
          </w:p>
        </w:tc>
        <w:tc>
          <w:tcPr>
            <w:tcW w:w="791" w:type="pct"/>
            <w:vAlign w:val="center"/>
          </w:tcPr>
          <w:p>
            <w:pPr>
              <w:tabs>
                <w:tab w:val="left" w:pos="360"/>
                <w:tab w:val="left" w:pos="443"/>
              </w:tabs>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tabs>
                <w:tab w:val="left" w:pos="360"/>
                <w:tab w:val="left" w:pos="443"/>
              </w:tabs>
              <w:snapToGrid w:val="0"/>
              <w:jc w:val="center"/>
              <w:rPr>
                <w:rFonts w:hint="eastAsia" w:ascii="楷体_GB2312" w:hAnsi="宋体" w:eastAsia="楷体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jc w:val="center"/>
        </w:trPr>
        <w:tc>
          <w:tcPr>
            <w:tcW w:w="401" w:type="pct"/>
            <w:vAlign w:val="center"/>
          </w:tcPr>
          <w:p>
            <w:pPr>
              <w:snapToGrid w:val="0"/>
              <w:jc w:val="center"/>
              <w:rPr>
                <w:rFonts w:hint="eastAsia" w:ascii="楷体_GB2312" w:hAnsi="宋体" w:eastAsia="楷体_GB2312"/>
                <w:sz w:val="24"/>
              </w:rPr>
            </w:pPr>
            <w:r>
              <w:rPr>
                <w:rFonts w:hint="eastAsia" w:eastAsia="楷体_GB2312"/>
                <w:sz w:val="24"/>
              </w:rPr>
              <w:t>5.5</w:t>
            </w:r>
          </w:p>
        </w:tc>
        <w:tc>
          <w:tcPr>
            <w:tcW w:w="3035" w:type="pct"/>
            <w:vAlign w:val="center"/>
          </w:tcPr>
          <w:p>
            <w:pPr>
              <w:tabs>
                <w:tab w:val="left" w:pos="360"/>
                <w:tab w:val="left" w:pos="443"/>
              </w:tabs>
              <w:snapToGrid w:val="0"/>
              <w:rPr>
                <w:rFonts w:hint="eastAsia" w:ascii="楷体_GB2312" w:hAnsi="宋体" w:eastAsia="楷体_GB2312" w:cs="宋体"/>
                <w:sz w:val="24"/>
              </w:rPr>
            </w:pPr>
            <w:r>
              <w:rPr>
                <w:rFonts w:hint="eastAsia" w:ascii="楷体_GB2312" w:hAnsi="宋体" w:eastAsia="楷体_GB2312" w:cs="宋体"/>
                <w:sz w:val="24"/>
              </w:rPr>
              <w:t>要求设备到货</w:t>
            </w:r>
            <w:r>
              <w:rPr>
                <w:rFonts w:hint="eastAsia" w:eastAsia="楷体_GB2312"/>
                <w:sz w:val="24"/>
              </w:rPr>
              <w:t>7日内安装调试达到正常自动运行的效果。</w:t>
            </w:r>
          </w:p>
        </w:tc>
        <w:tc>
          <w:tcPr>
            <w:tcW w:w="791" w:type="pct"/>
            <w:vAlign w:val="center"/>
          </w:tcPr>
          <w:p>
            <w:pPr>
              <w:tabs>
                <w:tab w:val="left" w:pos="360"/>
                <w:tab w:val="left" w:pos="443"/>
              </w:tabs>
              <w:snapToGrid w:val="0"/>
              <w:jc w:val="center"/>
              <w:rPr>
                <w:rFonts w:hint="eastAsia" w:ascii="楷体_GB2312" w:hAnsi="宋体" w:eastAsia="楷体_GB2312" w:cs="宋体"/>
                <w:sz w:val="24"/>
              </w:rPr>
            </w:pPr>
            <w:r>
              <w:rPr>
                <w:rFonts w:hint="eastAsia" w:ascii="楷体_GB2312" w:hAnsi="宋体" w:eastAsia="楷体_GB2312" w:cs="宋体"/>
                <w:b/>
                <w:bCs/>
                <w:sz w:val="24"/>
              </w:rPr>
              <w:t>▲</w:t>
            </w:r>
            <w:r>
              <w:rPr>
                <w:rFonts w:hint="eastAsia" w:ascii="楷体_GB2312" w:hAnsi="宋体" w:eastAsia="楷体_GB2312" w:cs="宋体"/>
                <w:sz w:val="24"/>
              </w:rPr>
              <w:t>必需</w:t>
            </w:r>
          </w:p>
        </w:tc>
        <w:tc>
          <w:tcPr>
            <w:tcW w:w="773" w:type="pct"/>
          </w:tcPr>
          <w:p>
            <w:pPr>
              <w:tabs>
                <w:tab w:val="left" w:pos="360"/>
                <w:tab w:val="left" w:pos="443"/>
              </w:tabs>
              <w:snapToGrid w:val="0"/>
              <w:jc w:val="center"/>
              <w:rPr>
                <w:rFonts w:hint="eastAsia" w:ascii="楷体_GB2312" w:hAnsi="宋体" w:eastAsia="楷体_GB2312" w:cs="宋体"/>
                <w:sz w:val="24"/>
              </w:rPr>
            </w:pPr>
          </w:p>
        </w:tc>
      </w:tr>
    </w:tbl>
    <w:p>
      <w:pPr>
        <w:snapToGrid w:val="0"/>
        <w:spacing w:before="331" w:beforeLines="100" w:after="82" w:afterLines="25" w:line="276" w:lineRule="auto"/>
        <w:ind w:left="510"/>
        <w:outlineLvl w:val="0"/>
        <w:rPr>
          <w:rFonts w:hint="eastAsia" w:ascii="仿宋_GB2312" w:hAnsi="仿宋" w:eastAsia="仿宋_GB2312" w:cs="宋体"/>
          <w:b/>
          <w:sz w:val="32"/>
          <w:szCs w:val="32"/>
        </w:rPr>
      </w:pPr>
      <w:bookmarkStart w:id="26" w:name="_Toc513628073"/>
      <w:bookmarkStart w:id="27" w:name="_Toc522719330"/>
      <w:r>
        <w:rPr>
          <w:rFonts w:hint="eastAsia" w:ascii="仿宋_GB2312" w:hAnsi="仿宋" w:eastAsia="仿宋_GB2312" w:cs="宋体"/>
          <w:b/>
          <w:sz w:val="32"/>
          <w:szCs w:val="32"/>
        </w:rPr>
        <w:t>6.安全</w:t>
      </w:r>
      <w:bookmarkEnd w:id="26"/>
      <w:r>
        <w:rPr>
          <w:rFonts w:hint="eastAsia" w:ascii="仿宋_GB2312" w:hAnsi="仿宋" w:eastAsia="仿宋_GB2312" w:cs="宋体"/>
          <w:b/>
          <w:sz w:val="32"/>
          <w:szCs w:val="32"/>
        </w:rPr>
        <w:t>要求</w:t>
      </w:r>
      <w:bookmarkEnd w:id="27"/>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5496"/>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exact"/>
          <w:jc w:val="center"/>
        </w:trPr>
        <w:tc>
          <w:tcPr>
            <w:tcW w:w="403"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序号</w:t>
            </w:r>
          </w:p>
        </w:tc>
        <w:tc>
          <w:tcPr>
            <w:tcW w:w="3033"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需求内容</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必需或期望</w:t>
            </w:r>
          </w:p>
        </w:tc>
        <w:tc>
          <w:tcPr>
            <w:tcW w:w="773"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9" w:hRule="exact"/>
          <w:jc w:val="center"/>
        </w:trPr>
        <w:tc>
          <w:tcPr>
            <w:tcW w:w="403" w:type="pct"/>
            <w:vAlign w:val="center"/>
          </w:tcPr>
          <w:p>
            <w:pPr>
              <w:snapToGrid w:val="0"/>
              <w:jc w:val="center"/>
              <w:rPr>
                <w:rFonts w:hint="eastAsia" w:ascii="宋体" w:hAnsi="宋体"/>
              </w:rPr>
            </w:pPr>
            <w:r>
              <w:rPr>
                <w:rFonts w:hint="eastAsia" w:eastAsia="楷体_GB2312"/>
                <w:sz w:val="24"/>
              </w:rPr>
              <w:t>6.1</w:t>
            </w:r>
          </w:p>
        </w:tc>
        <w:tc>
          <w:tcPr>
            <w:tcW w:w="3033" w:type="pct"/>
            <w:vAlign w:val="center"/>
          </w:tcPr>
          <w:p>
            <w:pPr>
              <w:snapToGrid w:val="0"/>
              <w:rPr>
                <w:rFonts w:hint="eastAsia" w:ascii="楷体_GB2312" w:hAnsi="宋体" w:eastAsia="楷体_GB2312"/>
                <w:sz w:val="24"/>
              </w:rPr>
            </w:pPr>
            <w:r>
              <w:rPr>
                <w:rFonts w:hint="eastAsia" w:ascii="楷体_GB2312" w:hAnsi="宋体" w:eastAsia="楷体_GB2312" w:cs="宋体"/>
                <w:sz w:val="24"/>
              </w:rPr>
              <w:t>设备至少应有</w:t>
            </w:r>
            <w:r>
              <w:rPr>
                <w:rFonts w:hint="eastAsia" w:ascii="楷体_GB2312" w:eastAsia="楷体_GB2312"/>
                <w:sz w:val="24"/>
              </w:rPr>
              <w:t>2</w:t>
            </w:r>
            <w:r>
              <w:rPr>
                <w:rFonts w:hint="eastAsia" w:ascii="楷体_GB2312" w:hAnsi="宋体" w:eastAsia="楷体_GB2312" w:cs="宋体"/>
                <w:sz w:val="24"/>
              </w:rPr>
              <w:t>个急停装置，并且急停开关要设在易于操作的地方。</w:t>
            </w:r>
            <w:r>
              <w:rPr>
                <w:rFonts w:hint="eastAsia" w:ascii="楷体_GB2312" w:hAnsi="宋体" w:eastAsia="楷体_GB2312"/>
                <w:sz w:val="24"/>
              </w:rPr>
              <w:t>一旦按下紧急停止按钮，相关设备停止所有转动部件，在急停按钮没有恢复之前，设备将无法启动。</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b/>
                <w:bCs/>
                <w:sz w:val="24"/>
              </w:rPr>
              <w:t>▲</w:t>
            </w: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exact"/>
          <w:jc w:val="center"/>
        </w:trPr>
        <w:tc>
          <w:tcPr>
            <w:tcW w:w="403" w:type="pct"/>
            <w:vAlign w:val="center"/>
          </w:tcPr>
          <w:p>
            <w:pPr>
              <w:snapToGrid w:val="0"/>
              <w:jc w:val="center"/>
              <w:rPr>
                <w:rFonts w:hint="eastAsia" w:ascii="宋体" w:hAnsi="宋体"/>
              </w:rPr>
            </w:pPr>
            <w:r>
              <w:rPr>
                <w:rFonts w:hint="eastAsia" w:eastAsia="楷体_GB2312"/>
                <w:sz w:val="24"/>
              </w:rPr>
              <w:t>6</w:t>
            </w:r>
            <w:r>
              <w:rPr>
                <w:rFonts w:eastAsia="楷体_GB2312"/>
                <w:sz w:val="24"/>
              </w:rPr>
              <w:t>.2</w:t>
            </w:r>
          </w:p>
        </w:tc>
        <w:tc>
          <w:tcPr>
            <w:tcW w:w="3033" w:type="pct"/>
            <w:vAlign w:val="center"/>
          </w:tcPr>
          <w:p>
            <w:pPr>
              <w:snapToGrid w:val="0"/>
              <w:rPr>
                <w:rFonts w:hint="eastAsia" w:ascii="楷体_GB2312" w:hAnsi="宋体" w:eastAsia="楷体_GB2312" w:cs="宋体"/>
                <w:sz w:val="24"/>
              </w:rPr>
            </w:pPr>
            <w:r>
              <w:rPr>
                <w:rFonts w:hint="eastAsia" w:ascii="楷体_GB2312" w:hAnsi="宋体" w:eastAsia="楷体_GB2312"/>
                <w:sz w:val="24"/>
                <w:lang w:val="es-ES"/>
              </w:rPr>
              <w:t>设备应具备过载保护装置，当机器受到外部卡阻时能</w:t>
            </w:r>
            <w:r>
              <w:rPr>
                <w:rFonts w:hint="eastAsia" w:ascii="楷体_GB2312" w:hAnsi="宋体" w:eastAsia="楷体_GB2312"/>
                <w:sz w:val="24"/>
              </w:rPr>
              <w:t>及时</w:t>
            </w:r>
            <w:r>
              <w:rPr>
                <w:rFonts w:hint="eastAsia" w:ascii="楷体_GB2312" w:hAnsi="宋体" w:eastAsia="楷体_GB2312"/>
                <w:sz w:val="24"/>
                <w:lang w:val="es-ES"/>
              </w:rPr>
              <w:t>停机保护设备。</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b/>
                <w:bCs/>
                <w:sz w:val="24"/>
              </w:rPr>
              <w:t>▲</w:t>
            </w: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exact"/>
          <w:jc w:val="center"/>
        </w:trPr>
        <w:tc>
          <w:tcPr>
            <w:tcW w:w="403" w:type="pct"/>
            <w:vAlign w:val="center"/>
          </w:tcPr>
          <w:p>
            <w:pPr>
              <w:snapToGrid w:val="0"/>
              <w:jc w:val="center"/>
              <w:rPr>
                <w:rFonts w:hint="eastAsia" w:ascii="宋体" w:hAnsi="宋体"/>
              </w:rPr>
            </w:pPr>
            <w:r>
              <w:rPr>
                <w:rFonts w:hint="eastAsia" w:eastAsia="楷体_GB2312"/>
                <w:sz w:val="24"/>
              </w:rPr>
              <w:t>6</w:t>
            </w:r>
            <w:r>
              <w:rPr>
                <w:rFonts w:eastAsia="楷体_GB2312"/>
                <w:sz w:val="24"/>
              </w:rPr>
              <w:t>.3</w:t>
            </w:r>
          </w:p>
        </w:tc>
        <w:tc>
          <w:tcPr>
            <w:tcW w:w="3033" w:type="pct"/>
            <w:vAlign w:val="center"/>
          </w:tcPr>
          <w:p>
            <w:pPr>
              <w:snapToGrid w:val="0"/>
              <w:rPr>
                <w:rFonts w:hint="eastAsia" w:ascii="楷体_GB2312" w:hAnsi="宋体" w:eastAsia="楷体_GB2312"/>
                <w:sz w:val="24"/>
              </w:rPr>
            </w:pPr>
            <w:r>
              <w:rPr>
                <w:rFonts w:hint="eastAsia" w:ascii="楷体_GB2312" w:hAnsi="宋体" w:eastAsia="楷体_GB2312" w:cs="宋体"/>
                <w:sz w:val="24"/>
              </w:rPr>
              <w:t>设备应接地安装，有漏电保护装置，外壳隔音，应有绝缘层。</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exact"/>
          <w:jc w:val="center"/>
        </w:trPr>
        <w:tc>
          <w:tcPr>
            <w:tcW w:w="403" w:type="pct"/>
            <w:vAlign w:val="center"/>
          </w:tcPr>
          <w:p>
            <w:pPr>
              <w:snapToGrid w:val="0"/>
              <w:jc w:val="center"/>
              <w:rPr>
                <w:rFonts w:hint="eastAsia" w:ascii="宋体" w:hAnsi="宋体"/>
              </w:rPr>
            </w:pPr>
            <w:r>
              <w:rPr>
                <w:rFonts w:hint="eastAsia" w:eastAsia="楷体_GB2312"/>
                <w:sz w:val="24"/>
              </w:rPr>
              <w:t>6.4</w:t>
            </w:r>
          </w:p>
        </w:tc>
        <w:tc>
          <w:tcPr>
            <w:tcW w:w="3033" w:type="pct"/>
            <w:vAlign w:val="center"/>
          </w:tcPr>
          <w:p>
            <w:pPr>
              <w:snapToGrid w:val="0"/>
              <w:rPr>
                <w:rFonts w:hint="eastAsia" w:ascii="楷体_GB2312" w:hAnsi="宋体" w:eastAsia="楷体_GB2312"/>
                <w:sz w:val="24"/>
              </w:rPr>
            </w:pPr>
            <w:r>
              <w:rPr>
                <w:rFonts w:hint="eastAsia" w:ascii="楷体_GB2312" w:hAnsi="宋体" w:eastAsia="楷体_GB2312" w:cs="Arial"/>
                <w:sz w:val="24"/>
              </w:rPr>
              <w:t>设备的操作屏附近或设备易观察区域上设置三色指示灯，以实时反映设备的运行状态。报警时需通过声、光反馈。</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exact"/>
          <w:jc w:val="center"/>
        </w:trPr>
        <w:tc>
          <w:tcPr>
            <w:tcW w:w="403" w:type="pct"/>
            <w:vAlign w:val="center"/>
          </w:tcPr>
          <w:p>
            <w:pPr>
              <w:snapToGrid w:val="0"/>
              <w:jc w:val="center"/>
              <w:rPr>
                <w:rFonts w:hint="eastAsia" w:ascii="宋体" w:hAnsi="宋体"/>
              </w:rPr>
            </w:pPr>
            <w:r>
              <w:rPr>
                <w:rFonts w:hint="eastAsia" w:eastAsia="楷体_GB2312"/>
                <w:sz w:val="24"/>
              </w:rPr>
              <w:t>6</w:t>
            </w:r>
            <w:r>
              <w:rPr>
                <w:rFonts w:eastAsia="楷体_GB2312"/>
                <w:sz w:val="24"/>
              </w:rPr>
              <w:t>.</w:t>
            </w:r>
            <w:r>
              <w:rPr>
                <w:rFonts w:hint="eastAsia" w:eastAsia="楷体_GB2312"/>
                <w:sz w:val="24"/>
              </w:rPr>
              <w:t>5</w:t>
            </w:r>
          </w:p>
        </w:tc>
        <w:tc>
          <w:tcPr>
            <w:tcW w:w="3033" w:type="pct"/>
            <w:vAlign w:val="center"/>
          </w:tcPr>
          <w:p>
            <w:pPr>
              <w:snapToGrid w:val="0"/>
              <w:rPr>
                <w:rFonts w:hint="eastAsia" w:ascii="楷体_GB2312" w:hAnsi="宋体" w:eastAsia="楷体_GB2312" w:cs="宋体"/>
                <w:sz w:val="24"/>
              </w:rPr>
            </w:pPr>
            <w:r>
              <w:rPr>
                <w:rFonts w:hint="eastAsia" w:ascii="楷体_GB2312" w:hAnsi="宋体" w:eastAsia="楷体_GB2312" w:cs="宋体"/>
                <w:sz w:val="24"/>
              </w:rPr>
              <w:t>需在具有机械损伤部位、触电危险部位、高温烫伤部位等可能对人体造成伤害的部位张贴警示标识。</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exact"/>
          <w:jc w:val="center"/>
        </w:trPr>
        <w:tc>
          <w:tcPr>
            <w:tcW w:w="403" w:type="pct"/>
            <w:vAlign w:val="center"/>
          </w:tcPr>
          <w:p>
            <w:pPr>
              <w:snapToGrid w:val="0"/>
              <w:jc w:val="center"/>
              <w:rPr>
                <w:rFonts w:hint="eastAsia" w:ascii="宋体" w:hAnsi="宋体"/>
              </w:rPr>
            </w:pPr>
            <w:r>
              <w:rPr>
                <w:rFonts w:hint="eastAsia" w:eastAsia="楷体_GB2312"/>
                <w:sz w:val="24"/>
              </w:rPr>
              <w:t>6.6</w:t>
            </w:r>
          </w:p>
        </w:tc>
        <w:tc>
          <w:tcPr>
            <w:tcW w:w="3033" w:type="pct"/>
            <w:vAlign w:val="center"/>
          </w:tcPr>
          <w:p>
            <w:pPr>
              <w:snapToGrid w:val="0"/>
              <w:rPr>
                <w:rFonts w:hint="eastAsia" w:ascii="楷体_GB2312" w:hAnsi="宋体" w:eastAsia="楷体_GB2312" w:cs="宋体"/>
                <w:sz w:val="24"/>
              </w:rPr>
            </w:pPr>
            <w:r>
              <w:rPr>
                <w:rFonts w:hint="eastAsia" w:ascii="楷体_GB2312" w:hAnsi="宋体" w:eastAsia="楷体_GB2312" w:cs="Arial"/>
                <w:sz w:val="24"/>
              </w:rPr>
              <w:t>设备边缘应该光滑，没有潜在尖角伤及操作员工。</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exact"/>
          <w:jc w:val="center"/>
        </w:trPr>
        <w:tc>
          <w:tcPr>
            <w:tcW w:w="403" w:type="pct"/>
            <w:vAlign w:val="center"/>
          </w:tcPr>
          <w:p>
            <w:pPr>
              <w:snapToGrid w:val="0"/>
              <w:jc w:val="center"/>
              <w:rPr>
                <w:rFonts w:hint="eastAsia" w:ascii="宋体" w:hAnsi="宋体"/>
              </w:rPr>
            </w:pPr>
            <w:r>
              <w:rPr>
                <w:rFonts w:hint="eastAsia" w:eastAsia="楷体_GB2312"/>
                <w:sz w:val="24"/>
              </w:rPr>
              <w:t>6</w:t>
            </w:r>
            <w:r>
              <w:rPr>
                <w:rFonts w:eastAsia="楷体_GB2312"/>
                <w:sz w:val="24"/>
              </w:rPr>
              <w:t>.</w:t>
            </w:r>
            <w:r>
              <w:rPr>
                <w:rFonts w:hint="eastAsia" w:eastAsia="楷体_GB2312"/>
                <w:sz w:val="24"/>
              </w:rPr>
              <w:t>7</w:t>
            </w:r>
          </w:p>
        </w:tc>
        <w:tc>
          <w:tcPr>
            <w:tcW w:w="3033" w:type="pct"/>
            <w:vAlign w:val="center"/>
          </w:tcPr>
          <w:p>
            <w:pPr>
              <w:snapToGrid w:val="0"/>
              <w:rPr>
                <w:rFonts w:hint="eastAsia" w:ascii="楷体_GB2312" w:hAnsi="宋体" w:eastAsia="楷体_GB2312" w:cs="宋体"/>
                <w:sz w:val="24"/>
              </w:rPr>
            </w:pPr>
            <w:r>
              <w:rPr>
                <w:rFonts w:hint="eastAsia" w:ascii="楷体_GB2312" w:hAnsi="Calibri" w:eastAsia="楷体_GB2312"/>
                <w:sz w:val="24"/>
              </w:rPr>
              <w:t>施工方开工之前需要进行安全培训，并进行培训签到</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4" w:hRule="exact"/>
          <w:jc w:val="center"/>
        </w:trPr>
        <w:tc>
          <w:tcPr>
            <w:tcW w:w="403" w:type="pct"/>
            <w:vAlign w:val="center"/>
          </w:tcPr>
          <w:p>
            <w:pPr>
              <w:snapToGrid w:val="0"/>
              <w:jc w:val="center"/>
              <w:rPr>
                <w:rFonts w:hint="eastAsia" w:ascii="宋体" w:hAnsi="宋体"/>
              </w:rPr>
            </w:pPr>
            <w:r>
              <w:rPr>
                <w:rFonts w:hint="eastAsia" w:eastAsia="楷体_GB2312"/>
                <w:sz w:val="24"/>
              </w:rPr>
              <w:t>6</w:t>
            </w:r>
            <w:r>
              <w:rPr>
                <w:rFonts w:eastAsia="楷体_GB2312"/>
                <w:sz w:val="24"/>
              </w:rPr>
              <w:t>.</w:t>
            </w:r>
            <w:r>
              <w:rPr>
                <w:rFonts w:hint="eastAsia" w:eastAsia="楷体_GB2312"/>
                <w:sz w:val="24"/>
              </w:rPr>
              <w:t>8</w:t>
            </w:r>
          </w:p>
        </w:tc>
        <w:tc>
          <w:tcPr>
            <w:tcW w:w="3033" w:type="pct"/>
            <w:vAlign w:val="center"/>
          </w:tcPr>
          <w:p>
            <w:pPr>
              <w:snapToGrid w:val="0"/>
              <w:rPr>
                <w:rFonts w:hint="eastAsia" w:ascii="楷体_GB2312" w:hAnsi="宋体" w:eastAsia="楷体_GB2312" w:cs="宋体"/>
                <w:sz w:val="24"/>
              </w:rPr>
            </w:pPr>
            <w:r>
              <w:rPr>
                <w:rFonts w:hint="eastAsia" w:ascii="楷体_GB2312" w:hAnsi="Calibri" w:eastAsia="楷体_GB2312"/>
                <w:sz w:val="24"/>
              </w:rPr>
              <w:t>施工方负责提供所有施工人员的安全防护用具，包含不限于安全头盔，手套等。</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5" w:hRule="exact"/>
          <w:jc w:val="center"/>
        </w:trPr>
        <w:tc>
          <w:tcPr>
            <w:tcW w:w="403" w:type="pct"/>
            <w:vAlign w:val="center"/>
          </w:tcPr>
          <w:p>
            <w:pPr>
              <w:snapToGrid w:val="0"/>
              <w:jc w:val="center"/>
              <w:rPr>
                <w:rFonts w:hint="eastAsia" w:ascii="宋体" w:hAnsi="宋体"/>
              </w:rPr>
            </w:pPr>
            <w:r>
              <w:rPr>
                <w:rFonts w:hint="eastAsia" w:eastAsia="楷体_GB2312"/>
                <w:sz w:val="24"/>
              </w:rPr>
              <w:t>6</w:t>
            </w:r>
            <w:r>
              <w:rPr>
                <w:rFonts w:eastAsia="楷体_GB2312"/>
                <w:sz w:val="24"/>
              </w:rPr>
              <w:t>.</w:t>
            </w:r>
            <w:r>
              <w:rPr>
                <w:rFonts w:hint="eastAsia" w:eastAsia="楷体_GB2312"/>
                <w:sz w:val="24"/>
              </w:rPr>
              <w:t>9</w:t>
            </w:r>
          </w:p>
        </w:tc>
        <w:tc>
          <w:tcPr>
            <w:tcW w:w="3033" w:type="pct"/>
            <w:vAlign w:val="center"/>
          </w:tcPr>
          <w:p>
            <w:pPr>
              <w:snapToGrid w:val="0"/>
              <w:rPr>
                <w:rFonts w:hint="eastAsia" w:ascii="楷体_GB2312" w:hAnsi="宋体" w:eastAsia="楷体_GB2312" w:cs="宋体"/>
                <w:sz w:val="24"/>
              </w:rPr>
            </w:pPr>
            <w:r>
              <w:rPr>
                <w:rFonts w:hint="eastAsia" w:ascii="楷体_GB2312" w:hAnsi="Calibri" w:eastAsia="楷体_GB2312"/>
                <w:sz w:val="24"/>
              </w:rPr>
              <w:t>施工人员需严格遵守广西双钱健康产业股份有限公司的各项公司规章制度和行为准则。遵守我司安全保卫的各项条款。</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exact"/>
          <w:jc w:val="center"/>
        </w:trPr>
        <w:tc>
          <w:tcPr>
            <w:tcW w:w="403" w:type="pct"/>
            <w:vAlign w:val="center"/>
          </w:tcPr>
          <w:p>
            <w:pPr>
              <w:snapToGrid w:val="0"/>
              <w:jc w:val="center"/>
              <w:rPr>
                <w:rFonts w:hint="eastAsia" w:ascii="宋体" w:hAnsi="宋体"/>
              </w:rPr>
            </w:pPr>
            <w:r>
              <w:rPr>
                <w:rFonts w:hint="eastAsia" w:eastAsia="楷体_GB2312"/>
                <w:sz w:val="24"/>
              </w:rPr>
              <w:t>6.10</w:t>
            </w:r>
          </w:p>
        </w:tc>
        <w:tc>
          <w:tcPr>
            <w:tcW w:w="3033" w:type="pct"/>
            <w:vAlign w:val="center"/>
          </w:tcPr>
          <w:p>
            <w:pPr>
              <w:snapToGrid w:val="0"/>
              <w:rPr>
                <w:rFonts w:hint="eastAsia" w:ascii="楷体_GB2312" w:hAnsi="宋体" w:eastAsia="楷体_GB2312" w:cs="宋体"/>
                <w:sz w:val="24"/>
              </w:rPr>
            </w:pPr>
            <w:r>
              <w:rPr>
                <w:rFonts w:hint="eastAsia" w:ascii="楷体_GB2312" w:hAnsi="Calibri" w:eastAsia="楷体_GB2312"/>
                <w:sz w:val="24"/>
              </w:rPr>
              <w:t>施工单位进场施工前，应按照中恒集团的要求，每位施工人员都需办理临时工作证。进入园区时，佩戴在身上，以便检查和管理，完工后，将临时工作证退回。</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bl>
    <w:p>
      <w:pPr>
        <w:snapToGrid w:val="0"/>
        <w:spacing w:before="331" w:beforeLines="100" w:after="82" w:afterLines="25" w:line="276" w:lineRule="auto"/>
        <w:ind w:left="510"/>
        <w:outlineLvl w:val="0"/>
        <w:rPr>
          <w:rFonts w:hint="eastAsia" w:ascii="仿宋_GB2312" w:hAnsi="仿宋" w:eastAsia="仿宋_GB2312" w:cs="宋体"/>
          <w:b/>
          <w:sz w:val="32"/>
          <w:szCs w:val="32"/>
        </w:rPr>
      </w:pPr>
      <w:bookmarkStart w:id="28" w:name="_Toc513628074"/>
      <w:bookmarkStart w:id="29" w:name="_Toc522719331"/>
    </w:p>
    <w:p>
      <w:pPr>
        <w:snapToGrid w:val="0"/>
        <w:spacing w:before="331" w:beforeLines="100" w:after="82" w:afterLines="25" w:line="276" w:lineRule="auto"/>
        <w:ind w:left="510"/>
        <w:outlineLvl w:val="0"/>
        <w:rPr>
          <w:rFonts w:hint="eastAsia" w:ascii="仿宋_GB2312" w:hAnsi="仿宋" w:eastAsia="仿宋_GB2312" w:cs="宋体"/>
          <w:b/>
          <w:sz w:val="32"/>
          <w:szCs w:val="32"/>
        </w:rPr>
      </w:pPr>
      <w:r>
        <w:rPr>
          <w:rFonts w:hint="eastAsia" w:ascii="仿宋_GB2312" w:hAnsi="仿宋" w:eastAsia="仿宋_GB2312" w:cs="宋体"/>
          <w:b/>
          <w:sz w:val="32"/>
          <w:szCs w:val="32"/>
        </w:rPr>
        <w:t>7.文件</w:t>
      </w:r>
      <w:bookmarkEnd w:id="28"/>
      <w:r>
        <w:rPr>
          <w:rFonts w:hint="eastAsia" w:ascii="仿宋_GB2312" w:hAnsi="仿宋" w:eastAsia="仿宋_GB2312" w:cs="宋体"/>
          <w:b/>
          <w:sz w:val="32"/>
          <w:szCs w:val="32"/>
        </w:rPr>
        <w:t>要求</w:t>
      </w:r>
      <w:bookmarkEnd w:id="29"/>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5492"/>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exact"/>
          <w:jc w:val="center"/>
        </w:trPr>
        <w:tc>
          <w:tcPr>
            <w:tcW w:w="405" w:type="pct"/>
            <w:vAlign w:val="center"/>
          </w:tcPr>
          <w:p>
            <w:pPr>
              <w:snapToGrid w:val="0"/>
              <w:jc w:val="center"/>
              <w:rPr>
                <w:rFonts w:ascii="楷体_GB2312" w:hAnsi="Calibri" w:eastAsia="楷体_GB2312"/>
                <w:sz w:val="24"/>
              </w:rPr>
            </w:pPr>
            <w:r>
              <w:rPr>
                <w:rFonts w:hint="eastAsia" w:ascii="楷体_GB2312" w:hAnsi="Calibri" w:eastAsia="楷体_GB2312"/>
                <w:sz w:val="24"/>
              </w:rPr>
              <w:t>序号</w:t>
            </w:r>
          </w:p>
        </w:tc>
        <w:tc>
          <w:tcPr>
            <w:tcW w:w="3031" w:type="pct"/>
            <w:vAlign w:val="center"/>
          </w:tcPr>
          <w:p>
            <w:pPr>
              <w:snapToGrid w:val="0"/>
              <w:jc w:val="center"/>
              <w:rPr>
                <w:rFonts w:ascii="楷体_GB2312" w:hAnsi="Calibri" w:eastAsia="楷体_GB2312"/>
                <w:sz w:val="24"/>
              </w:rPr>
            </w:pPr>
            <w:r>
              <w:rPr>
                <w:rFonts w:hint="eastAsia" w:ascii="楷体_GB2312" w:hAnsi="Calibri" w:eastAsia="楷体_GB2312"/>
                <w:sz w:val="24"/>
              </w:rPr>
              <w:t>需求内容</w:t>
            </w:r>
          </w:p>
        </w:tc>
        <w:tc>
          <w:tcPr>
            <w:tcW w:w="791" w:type="pct"/>
            <w:vAlign w:val="center"/>
          </w:tcPr>
          <w:p>
            <w:pPr>
              <w:snapToGrid w:val="0"/>
              <w:jc w:val="center"/>
              <w:rPr>
                <w:rFonts w:ascii="楷体_GB2312" w:hAnsi="Calibri" w:eastAsia="楷体_GB2312"/>
                <w:sz w:val="24"/>
              </w:rPr>
            </w:pPr>
            <w:r>
              <w:rPr>
                <w:rFonts w:hint="eastAsia" w:ascii="楷体_GB2312" w:hAnsi="Calibri" w:eastAsia="楷体_GB2312"/>
                <w:sz w:val="24"/>
              </w:rPr>
              <w:t>必需或期望</w:t>
            </w:r>
          </w:p>
        </w:tc>
        <w:tc>
          <w:tcPr>
            <w:tcW w:w="773" w:type="pct"/>
            <w:vAlign w:val="center"/>
          </w:tcPr>
          <w:p>
            <w:pPr>
              <w:snapToGrid w:val="0"/>
              <w:jc w:val="center"/>
              <w:rPr>
                <w:rFonts w:ascii="楷体_GB2312" w:hAnsi="Calibri" w:eastAsia="楷体_GB2312"/>
                <w:sz w:val="24"/>
              </w:rPr>
            </w:pPr>
            <w:r>
              <w:rPr>
                <w:rFonts w:hint="eastAsia" w:ascii="楷体_GB2312" w:hAnsi="Calibri" w:eastAsia="楷体_GB2312"/>
                <w:sz w:val="24"/>
              </w:rPr>
              <w:t>供方响应</w:t>
            </w:r>
          </w:p>
        </w:tc>
      </w:tr>
      <w:tr>
        <w:trPr>
          <w:trHeight w:val="1667" w:hRule="exact"/>
          <w:jc w:val="center"/>
        </w:trPr>
        <w:tc>
          <w:tcPr>
            <w:tcW w:w="405" w:type="pct"/>
            <w:vAlign w:val="center"/>
          </w:tcPr>
          <w:p>
            <w:pPr>
              <w:snapToGrid w:val="0"/>
              <w:jc w:val="center"/>
              <w:rPr>
                <w:rFonts w:eastAsia="楷体_GB2312"/>
                <w:sz w:val="24"/>
              </w:rPr>
            </w:pPr>
            <w:r>
              <w:rPr>
                <w:rFonts w:hint="eastAsia" w:eastAsia="楷体_GB2312"/>
                <w:sz w:val="24"/>
              </w:rPr>
              <w:t>7.1</w:t>
            </w:r>
          </w:p>
        </w:tc>
        <w:tc>
          <w:tcPr>
            <w:tcW w:w="3031" w:type="pct"/>
            <w:vAlign w:val="center"/>
          </w:tcPr>
          <w:p>
            <w:pPr>
              <w:snapToGrid w:val="0"/>
              <w:rPr>
                <w:rFonts w:hint="eastAsia" w:ascii="楷体_GB2312" w:hAnsi="宋体" w:eastAsia="楷体_GB2312"/>
                <w:sz w:val="24"/>
              </w:rPr>
            </w:pPr>
            <w:r>
              <w:rPr>
                <w:rFonts w:hint="eastAsia" w:ascii="楷体_GB2312" w:hAnsi="宋体" w:eastAsia="楷体_GB2312" w:cs="宋体"/>
                <w:sz w:val="24"/>
              </w:rPr>
              <w:t>设备的操作手册。内容应包括：机器的电气原理图和安全保护装置工作原理、操作使用、调整及维护保养文件。其中设备维护、维修、润滑及点检部位需做一份详细表格。</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exact"/>
          <w:jc w:val="center"/>
        </w:trPr>
        <w:tc>
          <w:tcPr>
            <w:tcW w:w="405" w:type="pct"/>
            <w:vAlign w:val="center"/>
          </w:tcPr>
          <w:p>
            <w:pPr>
              <w:snapToGrid w:val="0"/>
              <w:jc w:val="center"/>
              <w:rPr>
                <w:rFonts w:eastAsia="楷体_GB2312"/>
                <w:sz w:val="24"/>
              </w:rPr>
            </w:pPr>
            <w:r>
              <w:rPr>
                <w:rFonts w:hint="eastAsia" w:eastAsia="楷体_GB2312"/>
                <w:sz w:val="24"/>
              </w:rPr>
              <w:t>7.2</w:t>
            </w:r>
          </w:p>
        </w:tc>
        <w:tc>
          <w:tcPr>
            <w:tcW w:w="3031" w:type="pct"/>
            <w:vAlign w:val="center"/>
          </w:tcPr>
          <w:p>
            <w:pPr>
              <w:snapToGrid w:val="0"/>
              <w:rPr>
                <w:rFonts w:hint="eastAsia" w:ascii="楷体_GB2312" w:hAnsi="宋体" w:eastAsia="楷体_GB2312"/>
                <w:sz w:val="24"/>
              </w:rPr>
            </w:pPr>
            <w:r>
              <w:rPr>
                <w:rFonts w:hint="eastAsia" w:ascii="楷体_GB2312" w:hAnsi="宋体" w:eastAsia="楷体_GB2312" w:cs="宋体"/>
                <w:sz w:val="24"/>
              </w:rPr>
              <w:t>应提供纸质使用说明书和电子版说明书。</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exact"/>
          <w:jc w:val="center"/>
        </w:trPr>
        <w:tc>
          <w:tcPr>
            <w:tcW w:w="405" w:type="pct"/>
            <w:vAlign w:val="center"/>
          </w:tcPr>
          <w:p>
            <w:pPr>
              <w:snapToGrid w:val="0"/>
              <w:jc w:val="center"/>
              <w:rPr>
                <w:rFonts w:eastAsia="楷体_GB2312"/>
                <w:sz w:val="24"/>
              </w:rPr>
            </w:pPr>
            <w:r>
              <w:rPr>
                <w:rFonts w:hint="eastAsia" w:eastAsia="楷体_GB2312"/>
                <w:sz w:val="24"/>
              </w:rPr>
              <w:t>7.3</w:t>
            </w:r>
          </w:p>
        </w:tc>
        <w:tc>
          <w:tcPr>
            <w:tcW w:w="3031" w:type="pct"/>
            <w:vAlign w:val="center"/>
          </w:tcPr>
          <w:p>
            <w:pPr>
              <w:snapToGrid w:val="0"/>
              <w:rPr>
                <w:rFonts w:hint="eastAsia" w:ascii="楷体_GB2312" w:hAnsi="宋体" w:eastAsia="楷体_GB2312"/>
                <w:sz w:val="24"/>
              </w:rPr>
            </w:pPr>
            <w:r>
              <w:rPr>
                <w:rFonts w:hint="eastAsia" w:ascii="楷体_GB2312" w:hAnsi="宋体" w:eastAsia="楷体_GB2312" w:cs="宋体"/>
                <w:sz w:val="24"/>
              </w:rPr>
              <w:t>应提供配件清单，并注明易耗零部件的建议更换周期。</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exact"/>
          <w:jc w:val="center"/>
        </w:trPr>
        <w:tc>
          <w:tcPr>
            <w:tcW w:w="405" w:type="pct"/>
            <w:vAlign w:val="center"/>
          </w:tcPr>
          <w:p>
            <w:pPr>
              <w:snapToGrid w:val="0"/>
              <w:jc w:val="center"/>
              <w:rPr>
                <w:rFonts w:eastAsia="楷体_GB2312"/>
                <w:sz w:val="24"/>
              </w:rPr>
            </w:pPr>
            <w:r>
              <w:rPr>
                <w:rFonts w:hint="eastAsia" w:eastAsia="楷体_GB2312"/>
                <w:sz w:val="24"/>
              </w:rPr>
              <w:t>7.4</w:t>
            </w:r>
          </w:p>
        </w:tc>
        <w:tc>
          <w:tcPr>
            <w:tcW w:w="3031" w:type="pct"/>
            <w:vAlign w:val="center"/>
          </w:tcPr>
          <w:p>
            <w:pPr>
              <w:pStyle w:val="70"/>
              <w:snapToGrid w:val="0"/>
              <w:spacing w:before="0" w:after="0"/>
              <w:jc w:val="left"/>
              <w:rPr>
                <w:rFonts w:hint="eastAsia" w:ascii="楷体_GB2312" w:hAnsi="宋体" w:eastAsia="楷体_GB2312"/>
                <w:kern w:val="2"/>
                <w:lang w:eastAsia="zh-CN"/>
              </w:rPr>
            </w:pPr>
            <w:r>
              <w:rPr>
                <w:rFonts w:hint="eastAsia" w:ascii="楷体_GB2312" w:hAnsi="宋体" w:eastAsia="楷体_GB2312" w:cs="宋体"/>
                <w:kern w:val="2"/>
                <w:lang w:eastAsia="zh-CN"/>
              </w:rPr>
              <w:t>设备供货厂家需提供设备的装配示意图。</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exact"/>
          <w:jc w:val="center"/>
        </w:trPr>
        <w:tc>
          <w:tcPr>
            <w:tcW w:w="405" w:type="pct"/>
            <w:vAlign w:val="center"/>
          </w:tcPr>
          <w:p>
            <w:pPr>
              <w:snapToGrid w:val="0"/>
              <w:jc w:val="center"/>
              <w:rPr>
                <w:rFonts w:eastAsia="楷体_GB2312"/>
                <w:sz w:val="24"/>
              </w:rPr>
            </w:pPr>
            <w:r>
              <w:rPr>
                <w:rFonts w:hint="eastAsia" w:eastAsia="楷体_GB2312"/>
                <w:sz w:val="24"/>
              </w:rPr>
              <w:t>7.5</w:t>
            </w:r>
          </w:p>
        </w:tc>
        <w:tc>
          <w:tcPr>
            <w:tcW w:w="3031" w:type="pct"/>
            <w:vAlign w:val="center"/>
          </w:tcPr>
          <w:p>
            <w:pPr>
              <w:snapToGrid w:val="0"/>
              <w:rPr>
                <w:rFonts w:hint="eastAsia" w:ascii="楷体_GB2312" w:hAnsi="宋体" w:eastAsia="楷体_GB2312"/>
                <w:sz w:val="24"/>
              </w:rPr>
            </w:pPr>
            <w:r>
              <w:rPr>
                <w:rFonts w:hint="eastAsia" w:ascii="楷体_GB2312" w:hAnsi="宋体" w:eastAsia="楷体_GB2312" w:cs="宋体"/>
                <w:sz w:val="24"/>
              </w:rPr>
              <w:t>应有文件说明设备常见故障，并指出解决方法。</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exact"/>
          <w:jc w:val="center"/>
        </w:trPr>
        <w:tc>
          <w:tcPr>
            <w:tcW w:w="405" w:type="pct"/>
            <w:vAlign w:val="center"/>
          </w:tcPr>
          <w:p>
            <w:pPr>
              <w:snapToGrid w:val="0"/>
              <w:jc w:val="center"/>
              <w:rPr>
                <w:rFonts w:eastAsia="楷体_GB2312"/>
                <w:sz w:val="24"/>
              </w:rPr>
            </w:pPr>
            <w:r>
              <w:rPr>
                <w:rFonts w:hint="eastAsia" w:eastAsia="楷体_GB2312"/>
                <w:sz w:val="24"/>
              </w:rPr>
              <w:t>7.6</w:t>
            </w:r>
          </w:p>
        </w:tc>
        <w:tc>
          <w:tcPr>
            <w:tcW w:w="3031" w:type="pct"/>
            <w:vAlign w:val="center"/>
          </w:tcPr>
          <w:p>
            <w:pPr>
              <w:snapToGrid w:val="0"/>
              <w:rPr>
                <w:rFonts w:hint="eastAsia" w:ascii="楷体_GB2312" w:hAnsi="宋体" w:eastAsia="楷体_GB2312" w:cs="宋体"/>
                <w:sz w:val="24"/>
              </w:rPr>
            </w:pPr>
            <w:r>
              <w:rPr>
                <w:rFonts w:hint="eastAsia" w:ascii="楷体_GB2312" w:hAnsi="宋体" w:eastAsia="楷体_GB2312" w:cs="宋体"/>
                <w:sz w:val="24"/>
              </w:rPr>
              <w:t>设备到货需要有完整准确的装箱清单。</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bl>
    <w:p>
      <w:pPr>
        <w:snapToGrid w:val="0"/>
        <w:spacing w:before="331" w:beforeLines="100" w:after="82" w:afterLines="25" w:line="276" w:lineRule="auto"/>
        <w:ind w:firstLine="643" w:firstLineChars="200"/>
        <w:outlineLvl w:val="0"/>
        <w:rPr>
          <w:rFonts w:hint="eastAsia" w:ascii="仿宋_GB2312" w:hAnsi="仿宋" w:eastAsia="仿宋_GB2312" w:cs="宋体"/>
          <w:b/>
          <w:sz w:val="32"/>
          <w:szCs w:val="32"/>
        </w:rPr>
      </w:pPr>
      <w:bookmarkStart w:id="30" w:name="_Toc522719332"/>
      <w:bookmarkStart w:id="31" w:name="_Toc513628075"/>
      <w:r>
        <w:rPr>
          <w:rFonts w:hint="eastAsia" w:ascii="仿宋_GB2312" w:hAnsi="仿宋" w:eastAsia="仿宋_GB2312" w:cs="宋体"/>
          <w:b/>
          <w:sz w:val="32"/>
          <w:szCs w:val="32"/>
        </w:rPr>
        <w:t>8.培训要求</w:t>
      </w:r>
      <w:bookmarkEnd w:id="30"/>
      <w:bookmarkEnd w:id="3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5490"/>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exact"/>
          <w:jc w:val="center"/>
        </w:trPr>
        <w:tc>
          <w:tcPr>
            <w:tcW w:w="406"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序号</w:t>
            </w:r>
          </w:p>
        </w:tc>
        <w:tc>
          <w:tcPr>
            <w:tcW w:w="3029"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需求内容</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期望或必需</w:t>
            </w:r>
          </w:p>
        </w:tc>
        <w:tc>
          <w:tcPr>
            <w:tcW w:w="773"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exact"/>
          <w:jc w:val="center"/>
        </w:trPr>
        <w:tc>
          <w:tcPr>
            <w:tcW w:w="406" w:type="pct"/>
            <w:vAlign w:val="center"/>
          </w:tcPr>
          <w:p>
            <w:pPr>
              <w:snapToGrid w:val="0"/>
              <w:jc w:val="center"/>
              <w:rPr>
                <w:rFonts w:hint="eastAsia" w:ascii="宋体" w:hAnsi="宋体"/>
              </w:rPr>
            </w:pPr>
            <w:r>
              <w:rPr>
                <w:rFonts w:hint="eastAsia" w:eastAsia="楷体_GB2312"/>
                <w:sz w:val="24"/>
              </w:rPr>
              <w:t>8</w:t>
            </w:r>
            <w:r>
              <w:rPr>
                <w:rFonts w:eastAsia="楷体_GB2312"/>
                <w:sz w:val="24"/>
              </w:rPr>
              <w:t>.1</w:t>
            </w:r>
          </w:p>
        </w:tc>
        <w:tc>
          <w:tcPr>
            <w:tcW w:w="3029" w:type="pct"/>
            <w:vAlign w:val="center"/>
          </w:tcPr>
          <w:p>
            <w:pPr>
              <w:pStyle w:val="66"/>
              <w:snapToGrid w:val="0"/>
              <w:rPr>
                <w:rFonts w:hint="eastAsia" w:ascii="楷体_GB2312" w:hAnsi="宋体" w:eastAsia="楷体_GB2312"/>
                <w:kern w:val="2"/>
                <w:sz w:val="24"/>
                <w:szCs w:val="24"/>
              </w:rPr>
            </w:pPr>
            <w:r>
              <w:rPr>
                <w:rFonts w:hint="eastAsia" w:ascii="楷体_GB2312" w:hAnsi="宋体" w:eastAsia="楷体_GB2312" w:cs="宋体"/>
                <w:kern w:val="2"/>
                <w:sz w:val="24"/>
                <w:szCs w:val="24"/>
              </w:rPr>
              <w:t>培训内容：综合培训（掌握设备理论知识）；现场培训（设备实践操作知识及维修的必备知识）。具体包括：结构原理、故障排除基本知识的培训及问题解答等。培训时长不少于</w:t>
            </w:r>
            <w:r>
              <w:rPr>
                <w:rFonts w:hint="eastAsia" w:eastAsia="楷体_GB2312"/>
                <w:kern w:val="2"/>
                <w:sz w:val="24"/>
                <w:szCs w:val="24"/>
              </w:rPr>
              <w:t>2</w:t>
            </w:r>
            <w:r>
              <w:rPr>
                <w:rFonts w:hint="eastAsia" w:ascii="楷体_GB2312" w:hAnsi="宋体" w:eastAsia="楷体_GB2312" w:cs="宋体"/>
                <w:kern w:val="2"/>
                <w:sz w:val="24"/>
                <w:szCs w:val="24"/>
              </w:rPr>
              <w:t>天。</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exact"/>
          <w:jc w:val="center"/>
        </w:trPr>
        <w:tc>
          <w:tcPr>
            <w:tcW w:w="406" w:type="pct"/>
            <w:vAlign w:val="center"/>
          </w:tcPr>
          <w:p>
            <w:pPr>
              <w:snapToGrid w:val="0"/>
              <w:jc w:val="center"/>
              <w:rPr>
                <w:rFonts w:hint="eastAsia" w:ascii="宋体" w:hAnsi="宋体"/>
              </w:rPr>
            </w:pPr>
            <w:r>
              <w:rPr>
                <w:rFonts w:hint="eastAsia" w:eastAsia="楷体_GB2312"/>
                <w:sz w:val="24"/>
              </w:rPr>
              <w:t>8</w:t>
            </w:r>
            <w:r>
              <w:rPr>
                <w:rFonts w:eastAsia="楷体_GB2312"/>
                <w:sz w:val="24"/>
              </w:rPr>
              <w:t>.2</w:t>
            </w:r>
          </w:p>
        </w:tc>
        <w:tc>
          <w:tcPr>
            <w:tcW w:w="3029" w:type="pct"/>
            <w:vAlign w:val="center"/>
          </w:tcPr>
          <w:p>
            <w:pPr>
              <w:pStyle w:val="66"/>
              <w:snapToGrid w:val="0"/>
              <w:rPr>
                <w:rFonts w:hint="eastAsia" w:ascii="楷体_GB2312" w:hAnsi="宋体" w:eastAsia="楷体_GB2312"/>
                <w:kern w:val="2"/>
                <w:sz w:val="24"/>
                <w:szCs w:val="24"/>
              </w:rPr>
            </w:pPr>
            <w:r>
              <w:rPr>
                <w:rFonts w:hint="eastAsia" w:ascii="楷体_GB2312" w:hAnsi="宋体" w:eastAsia="楷体_GB2312" w:cs="宋体"/>
                <w:kern w:val="2"/>
                <w:sz w:val="24"/>
                <w:szCs w:val="24"/>
              </w:rPr>
              <w:t>培训效果：使用方受训人员（至少三人）能够独立熟练完成操作，并能掌握使用过程中的注意事项，能够完成简单的故障排除。</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bl>
    <w:p>
      <w:pPr>
        <w:snapToGrid w:val="0"/>
        <w:spacing w:before="331" w:beforeLines="100" w:after="82" w:afterLines="25" w:line="276" w:lineRule="auto"/>
        <w:ind w:left="510"/>
        <w:outlineLvl w:val="0"/>
        <w:rPr>
          <w:rFonts w:hint="eastAsia" w:ascii="仿宋_GB2312" w:hAnsi="仿宋" w:eastAsia="仿宋_GB2312" w:cs="宋体"/>
          <w:b/>
          <w:sz w:val="32"/>
          <w:szCs w:val="32"/>
        </w:rPr>
      </w:pPr>
    </w:p>
    <w:p>
      <w:pPr>
        <w:snapToGrid w:val="0"/>
        <w:spacing w:before="331" w:beforeLines="100" w:after="82" w:afterLines="25" w:line="276" w:lineRule="auto"/>
        <w:ind w:left="510"/>
        <w:outlineLvl w:val="0"/>
        <w:rPr>
          <w:rFonts w:hint="eastAsia" w:ascii="仿宋_GB2312" w:hAnsi="仿宋" w:eastAsia="仿宋_GB2312" w:cs="宋体"/>
          <w:b/>
          <w:sz w:val="32"/>
          <w:szCs w:val="32"/>
        </w:rPr>
      </w:pPr>
      <w:r>
        <w:rPr>
          <w:rFonts w:hint="eastAsia" w:ascii="仿宋_GB2312" w:hAnsi="仿宋" w:eastAsia="仿宋_GB2312" w:cs="宋体"/>
          <w:b/>
          <w:sz w:val="32"/>
          <w:szCs w:val="32"/>
        </w:rPr>
        <w:t>9.售后服务要求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5499"/>
        <w:gridCol w:w="1433"/>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exact"/>
          <w:jc w:val="center"/>
        </w:trPr>
        <w:tc>
          <w:tcPr>
            <w:tcW w:w="40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序号</w:t>
            </w:r>
          </w:p>
        </w:tc>
        <w:tc>
          <w:tcPr>
            <w:tcW w:w="3035"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需求内容</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期望或必需</w:t>
            </w:r>
          </w:p>
        </w:tc>
        <w:tc>
          <w:tcPr>
            <w:tcW w:w="773"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供方响应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exact"/>
          <w:jc w:val="center"/>
        </w:trPr>
        <w:tc>
          <w:tcPr>
            <w:tcW w:w="401" w:type="pct"/>
            <w:vAlign w:val="center"/>
          </w:tcPr>
          <w:p>
            <w:pPr>
              <w:snapToGrid w:val="0"/>
              <w:jc w:val="center"/>
              <w:rPr>
                <w:rFonts w:eastAsia="楷体_GB2312"/>
                <w:sz w:val="24"/>
              </w:rPr>
            </w:pPr>
            <w:r>
              <w:rPr>
                <w:rFonts w:hint="eastAsia" w:eastAsia="楷体_GB2312"/>
                <w:sz w:val="24"/>
              </w:rPr>
              <w:t>9.1</w:t>
            </w:r>
          </w:p>
        </w:tc>
        <w:tc>
          <w:tcPr>
            <w:tcW w:w="3035" w:type="pct"/>
            <w:vAlign w:val="center"/>
          </w:tcPr>
          <w:p>
            <w:pPr>
              <w:pStyle w:val="66"/>
              <w:snapToGrid w:val="0"/>
              <w:rPr>
                <w:rFonts w:hint="eastAsia" w:ascii="楷体_GB2312" w:hAnsi="宋体" w:eastAsia="楷体_GB2312"/>
                <w:kern w:val="2"/>
                <w:sz w:val="24"/>
                <w:szCs w:val="24"/>
              </w:rPr>
            </w:pPr>
            <w:r>
              <w:rPr>
                <w:rFonts w:hint="eastAsia" w:ascii="楷体_GB2312" w:hAnsi="宋体" w:eastAsia="楷体_GB2312" w:cs="宋体"/>
                <w:kern w:val="2"/>
                <w:sz w:val="24"/>
                <w:szCs w:val="24"/>
              </w:rPr>
              <w:t>设备供应商应具有良好的售后服务团队，能提供技术服务。</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exact"/>
          <w:jc w:val="center"/>
        </w:trPr>
        <w:tc>
          <w:tcPr>
            <w:tcW w:w="401" w:type="pct"/>
            <w:vAlign w:val="center"/>
          </w:tcPr>
          <w:p>
            <w:pPr>
              <w:snapToGrid w:val="0"/>
              <w:jc w:val="center"/>
              <w:rPr>
                <w:rFonts w:eastAsia="楷体_GB2312"/>
                <w:sz w:val="24"/>
              </w:rPr>
            </w:pPr>
            <w:r>
              <w:rPr>
                <w:rFonts w:hint="eastAsia" w:eastAsia="楷体_GB2312"/>
                <w:sz w:val="24"/>
              </w:rPr>
              <w:t>9.2</w:t>
            </w:r>
          </w:p>
        </w:tc>
        <w:tc>
          <w:tcPr>
            <w:tcW w:w="3035" w:type="pct"/>
            <w:vAlign w:val="center"/>
          </w:tcPr>
          <w:p>
            <w:pPr>
              <w:pStyle w:val="66"/>
              <w:snapToGrid w:val="0"/>
              <w:rPr>
                <w:rFonts w:hint="eastAsia" w:ascii="楷体_GB2312" w:hAnsi="宋体" w:eastAsia="楷体_GB2312"/>
                <w:kern w:val="2"/>
                <w:sz w:val="24"/>
                <w:szCs w:val="24"/>
              </w:rPr>
            </w:pPr>
            <w:r>
              <w:rPr>
                <w:rFonts w:hint="eastAsia" w:ascii="楷体_GB2312" w:hAnsi="宋体" w:eastAsia="楷体_GB2312" w:cs="宋体"/>
                <w:kern w:val="2"/>
                <w:sz w:val="24"/>
                <w:szCs w:val="24"/>
              </w:rPr>
              <w:t>保修期内提供优惠的维修服务及零部件，维修响应时间应在</w:t>
            </w:r>
            <w:r>
              <w:rPr>
                <w:rFonts w:hint="eastAsia" w:eastAsia="楷体_GB2312"/>
                <w:kern w:val="2"/>
                <w:sz w:val="24"/>
                <w:szCs w:val="24"/>
              </w:rPr>
              <w:t>48</w:t>
            </w:r>
            <w:r>
              <w:rPr>
                <w:rFonts w:hint="eastAsia" w:ascii="楷体_GB2312" w:hAnsi="宋体" w:eastAsia="楷体_GB2312" w:cs="宋体"/>
                <w:kern w:val="2"/>
                <w:sz w:val="24"/>
                <w:szCs w:val="24"/>
              </w:rPr>
              <w:t>小时内。</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exact"/>
          <w:jc w:val="center"/>
        </w:trPr>
        <w:tc>
          <w:tcPr>
            <w:tcW w:w="401" w:type="pct"/>
            <w:vAlign w:val="center"/>
          </w:tcPr>
          <w:p>
            <w:pPr>
              <w:snapToGrid w:val="0"/>
              <w:jc w:val="center"/>
              <w:rPr>
                <w:rFonts w:eastAsia="楷体_GB2312"/>
                <w:sz w:val="24"/>
              </w:rPr>
            </w:pPr>
            <w:r>
              <w:rPr>
                <w:rFonts w:hint="eastAsia" w:eastAsia="楷体_GB2312"/>
                <w:sz w:val="24"/>
              </w:rPr>
              <w:t>9.3</w:t>
            </w:r>
          </w:p>
        </w:tc>
        <w:tc>
          <w:tcPr>
            <w:tcW w:w="3035" w:type="pct"/>
            <w:vAlign w:val="center"/>
          </w:tcPr>
          <w:p>
            <w:pPr>
              <w:snapToGrid w:val="0"/>
              <w:rPr>
                <w:rFonts w:hint="eastAsia" w:ascii="楷体_GB2312" w:hAnsi="宋体" w:eastAsia="楷体_GB2312"/>
                <w:sz w:val="24"/>
              </w:rPr>
            </w:pPr>
            <w:r>
              <w:rPr>
                <w:rFonts w:hint="eastAsia" w:ascii="楷体_GB2312" w:hAnsi="宋体" w:eastAsia="楷体_GB2312" w:cs="宋体"/>
                <w:sz w:val="24"/>
              </w:rPr>
              <w:t>设备供应商应协助用户远程处理常见问题维修。</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exact"/>
          <w:jc w:val="center"/>
        </w:trPr>
        <w:tc>
          <w:tcPr>
            <w:tcW w:w="401" w:type="pct"/>
            <w:vAlign w:val="center"/>
          </w:tcPr>
          <w:p>
            <w:pPr>
              <w:snapToGrid w:val="0"/>
              <w:jc w:val="center"/>
              <w:rPr>
                <w:rFonts w:eastAsia="楷体_GB2312"/>
                <w:sz w:val="24"/>
              </w:rPr>
            </w:pPr>
            <w:r>
              <w:rPr>
                <w:rFonts w:hint="eastAsia" w:eastAsia="楷体_GB2312"/>
                <w:sz w:val="24"/>
              </w:rPr>
              <w:t>9.4</w:t>
            </w:r>
          </w:p>
        </w:tc>
        <w:tc>
          <w:tcPr>
            <w:tcW w:w="3035" w:type="pct"/>
            <w:vAlign w:val="center"/>
          </w:tcPr>
          <w:p>
            <w:pPr>
              <w:snapToGrid w:val="0"/>
              <w:rPr>
                <w:rFonts w:hint="eastAsia" w:ascii="楷体_GB2312" w:hAnsi="宋体" w:eastAsia="楷体_GB2312"/>
                <w:sz w:val="24"/>
              </w:rPr>
            </w:pPr>
            <w:r>
              <w:rPr>
                <w:rFonts w:hint="eastAsia" w:ascii="楷体_GB2312" w:hAnsi="宋体" w:eastAsia="楷体_GB2312"/>
                <w:sz w:val="24"/>
              </w:rPr>
              <w:t>长期提供设备相关的专业技术培训及提供与设备相关的最新资讯。</w:t>
            </w:r>
          </w:p>
        </w:tc>
        <w:tc>
          <w:tcPr>
            <w:tcW w:w="791" w:type="pct"/>
            <w:vAlign w:val="center"/>
          </w:tcPr>
          <w:p>
            <w:pPr>
              <w:snapToGrid w:val="0"/>
              <w:jc w:val="center"/>
              <w:rPr>
                <w:rFonts w:hint="eastAsia" w:ascii="楷体_GB2312" w:hAnsi="宋体" w:eastAsia="楷体_GB2312" w:cs="宋体"/>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exact"/>
          <w:jc w:val="center"/>
        </w:trPr>
        <w:tc>
          <w:tcPr>
            <w:tcW w:w="401" w:type="pct"/>
            <w:vAlign w:val="center"/>
          </w:tcPr>
          <w:p>
            <w:pPr>
              <w:snapToGrid w:val="0"/>
              <w:jc w:val="center"/>
              <w:rPr>
                <w:rFonts w:eastAsia="楷体_GB2312"/>
                <w:sz w:val="24"/>
              </w:rPr>
            </w:pPr>
            <w:r>
              <w:rPr>
                <w:rFonts w:hint="eastAsia" w:eastAsia="楷体_GB2312"/>
                <w:sz w:val="24"/>
              </w:rPr>
              <w:t>9.5</w:t>
            </w:r>
          </w:p>
        </w:tc>
        <w:tc>
          <w:tcPr>
            <w:tcW w:w="3035" w:type="pct"/>
            <w:vAlign w:val="center"/>
          </w:tcPr>
          <w:p>
            <w:pPr>
              <w:snapToGrid w:val="0"/>
              <w:rPr>
                <w:rFonts w:hint="eastAsia" w:ascii="楷体_GB2312" w:hAnsi="宋体" w:eastAsia="楷体_GB2312"/>
                <w:sz w:val="24"/>
              </w:rPr>
            </w:pPr>
            <w:r>
              <w:rPr>
                <w:rFonts w:hint="eastAsia" w:ascii="楷体_GB2312" w:hAnsi="宋体" w:eastAsia="楷体_GB2312"/>
                <w:sz w:val="24"/>
              </w:rPr>
              <w:t>提供设备回访及大、中、小检修服务。</w:t>
            </w:r>
          </w:p>
        </w:tc>
        <w:tc>
          <w:tcPr>
            <w:tcW w:w="791" w:type="pct"/>
            <w:vAlign w:val="center"/>
          </w:tcPr>
          <w:p>
            <w:pPr>
              <w:snapToGrid w:val="0"/>
              <w:jc w:val="center"/>
              <w:rPr>
                <w:rFonts w:hint="eastAsia" w:ascii="楷体_GB2312" w:hAnsi="宋体" w:eastAsia="楷体_GB2312"/>
                <w:sz w:val="24"/>
              </w:rPr>
            </w:pPr>
            <w:r>
              <w:rPr>
                <w:rFonts w:hint="eastAsia" w:ascii="楷体_GB2312" w:hAnsi="宋体" w:eastAsia="楷体_GB2312" w:cs="宋体"/>
                <w:sz w:val="24"/>
              </w:rPr>
              <w:t>必需</w:t>
            </w:r>
          </w:p>
        </w:tc>
        <w:tc>
          <w:tcPr>
            <w:tcW w:w="773" w:type="pct"/>
          </w:tcPr>
          <w:p>
            <w:pPr>
              <w:snapToGrid w:val="0"/>
              <w:jc w:val="center"/>
              <w:rPr>
                <w:rFonts w:hint="eastAsia" w:ascii="宋体" w:hAnsi="宋体" w:cs="宋体"/>
              </w:rPr>
            </w:pPr>
          </w:p>
        </w:tc>
      </w:tr>
    </w:tbl>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r>
        <w:rPr>
          <w:rFonts w:hint="eastAsia" w:ascii="黑体" w:hAnsi="黑体" w:eastAsia="黑体"/>
          <w:bCs/>
          <w:sz w:val="32"/>
          <w:szCs w:val="18"/>
        </w:rPr>
        <w:t>附件1：小金碗面盖尺寸</w:t>
      </w:r>
    </w:p>
    <w:p>
      <w:pPr>
        <w:pStyle w:val="13"/>
        <w:jc w:val="left"/>
        <w:outlineLvl w:val="0"/>
        <w:rPr>
          <w:rFonts w:hint="eastAsia" w:hAnsi="宋体"/>
          <w:szCs w:val="21"/>
        </w:rPr>
      </w:pPr>
      <w:r>
        <w:drawing>
          <wp:anchor distT="0" distB="0" distL="114300" distR="114300" simplePos="0" relativeHeight="251660288" behindDoc="0" locked="0" layoutInCell="1" allowOverlap="1">
            <wp:simplePos x="0" y="0"/>
            <wp:positionH relativeFrom="column">
              <wp:posOffset>1270</wp:posOffset>
            </wp:positionH>
            <wp:positionV relativeFrom="paragraph">
              <wp:posOffset>76200</wp:posOffset>
            </wp:positionV>
            <wp:extent cx="2432050" cy="2363470"/>
            <wp:effectExtent l="0" t="0" r="0" b="0"/>
            <wp:wrapNone/>
            <wp:docPr id="1711678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78075"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32050" cy="2363470"/>
                    </a:xfrm>
                    <a:prstGeom prst="rect">
                      <a:avLst/>
                    </a:prstGeom>
                    <a:noFill/>
                    <a:ln>
                      <a:noFill/>
                    </a:ln>
                  </pic:spPr>
                </pic:pic>
              </a:graphicData>
            </a:graphic>
          </wp:anchor>
        </w:drawing>
      </w:r>
      <w:r>
        <w:rPr>
          <w:rFonts w:hint="eastAsia" w:hAnsi="宋体"/>
          <w:szCs w:val="21"/>
        </w:rPr>
        <w:t xml:space="preserve">      </w:t>
      </w: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hint="eastAsia" w:hAnsi="宋体"/>
          <w:szCs w:val="21"/>
        </w:rPr>
      </w:pPr>
      <w:r>
        <w:drawing>
          <wp:anchor distT="0" distB="0" distL="114300" distR="114300" simplePos="0" relativeHeight="251661312" behindDoc="0" locked="0" layoutInCell="1" allowOverlap="1">
            <wp:simplePos x="0" y="0"/>
            <wp:positionH relativeFrom="column">
              <wp:posOffset>-265430</wp:posOffset>
            </wp:positionH>
            <wp:positionV relativeFrom="paragraph">
              <wp:posOffset>241935</wp:posOffset>
            </wp:positionV>
            <wp:extent cx="3215005" cy="1478280"/>
            <wp:effectExtent l="0" t="0" r="0" b="0"/>
            <wp:wrapNone/>
            <wp:docPr id="456742635" name="图片 2" descr="C:\Users\zhaohua\Desktop\博升401铝质透明盖.jpg博升401铝质透明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42635" name="图片 2" descr="C:\Users\zhaohua\Desktop\博升401铝质透明盖.jpg博升401铝质透明盖"/>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15005" cy="1478280"/>
                    </a:xfrm>
                    <a:prstGeom prst="rect">
                      <a:avLst/>
                    </a:prstGeom>
                    <a:noFill/>
                    <a:ln>
                      <a:noFill/>
                    </a:ln>
                  </pic:spPr>
                </pic:pic>
              </a:graphicData>
            </a:graphic>
          </wp:anchor>
        </w:drawing>
      </w:r>
    </w:p>
    <w:p>
      <w:pPr>
        <w:pStyle w:val="13"/>
        <w:jc w:val="left"/>
        <w:outlineLvl w:val="0"/>
        <w:rPr>
          <w:rFonts w:hint="eastAsia" w:hAnsi="宋体"/>
          <w:szCs w:val="21"/>
        </w:rPr>
      </w:pPr>
    </w:p>
    <w:p>
      <w:pPr>
        <w:pStyle w:val="13"/>
        <w:jc w:val="left"/>
        <w:outlineLvl w:val="0"/>
        <w:rPr>
          <w:rFonts w:hint="eastAsia" w:hAnsi="宋体"/>
          <w:szCs w:val="21"/>
        </w:rPr>
      </w:pPr>
    </w:p>
    <w:p>
      <w:pPr>
        <w:pStyle w:val="13"/>
        <w:jc w:val="left"/>
        <w:outlineLvl w:val="0"/>
        <w:rPr>
          <w:rFonts w:ascii="Times New Roman" w:hAnsi="Times New Roman"/>
          <w:b/>
          <w:sz w:val="36"/>
        </w:rPr>
      </w:pPr>
    </w:p>
    <w:p>
      <w:pPr>
        <w:pStyle w:val="13"/>
        <w:ind w:firstLine="2520" w:firstLineChars="1200"/>
        <w:jc w:val="left"/>
        <w:outlineLvl w:val="0"/>
        <w:rPr>
          <w:rFonts w:hint="eastAsia" w:hAnsi="宋体"/>
          <w:szCs w:val="24"/>
        </w:rPr>
      </w:pPr>
      <w:r>
        <w:rPr>
          <w:rFonts w:hint="eastAsia" w:hAnsi="宋体"/>
          <w:szCs w:val="24"/>
        </w:rPr>
        <w:t xml:space="preserve">                                 </w:t>
      </w:r>
    </w:p>
    <w:p>
      <w:pPr>
        <w:pStyle w:val="13"/>
        <w:jc w:val="left"/>
        <w:outlineLvl w:val="0"/>
        <w:rPr>
          <w:rFonts w:hint="eastAsia" w:ascii="黑体" w:hAnsi="黑体" w:eastAsia="黑体"/>
          <w:bCs/>
          <w:sz w:val="32"/>
          <w:szCs w:val="18"/>
        </w:rPr>
      </w:pPr>
    </w:p>
    <w:p>
      <w:pPr>
        <w:pStyle w:val="13"/>
        <w:jc w:val="left"/>
        <w:outlineLvl w:val="0"/>
        <w:rPr>
          <w:rFonts w:hint="eastAsia" w:ascii="黑体" w:hAnsi="黑体" w:eastAsia="黑体"/>
          <w:bCs/>
          <w:sz w:val="32"/>
          <w:szCs w:val="18"/>
        </w:rPr>
      </w:pPr>
      <w:r>
        <w:rPr>
          <w:rFonts w:hint="eastAsia" w:ascii="黑体" w:hAnsi="黑体" w:eastAsia="黑体"/>
          <w:bCs/>
          <w:sz w:val="32"/>
          <w:szCs w:val="18"/>
        </w:rPr>
        <w:t>附件2：设备安装</w:t>
      </w:r>
    </w:p>
    <w:p>
      <w:pPr>
        <w:pStyle w:val="13"/>
        <w:jc w:val="left"/>
        <w:outlineLvl w:val="0"/>
        <w:rPr>
          <w:rFonts w:ascii="Times New Roman" w:hAnsi="Times New Roman"/>
          <w:b/>
          <w:sz w:val="36"/>
        </w:rPr>
      </w:pPr>
      <w:r>
        <w:drawing>
          <wp:anchor distT="0" distB="0" distL="114300" distR="114300" simplePos="0" relativeHeight="251659264" behindDoc="0" locked="0" layoutInCell="1" allowOverlap="1">
            <wp:simplePos x="0" y="0"/>
            <wp:positionH relativeFrom="column">
              <wp:posOffset>-80010</wp:posOffset>
            </wp:positionH>
            <wp:positionV relativeFrom="paragraph">
              <wp:posOffset>80010</wp:posOffset>
            </wp:positionV>
            <wp:extent cx="5975985" cy="3014345"/>
            <wp:effectExtent l="0" t="0" r="0" b="0"/>
            <wp:wrapNone/>
            <wp:docPr id="4926138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13810"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76000" cy="3014660"/>
                    </a:xfrm>
                    <a:prstGeom prst="rect">
                      <a:avLst/>
                    </a:prstGeom>
                  </pic:spPr>
                </pic:pic>
              </a:graphicData>
            </a:graphic>
          </wp:anchor>
        </w:drawing>
      </w:r>
    </w:p>
    <w:bookmarkEnd w:id="12"/>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p>
      <w:pPr>
        <w:pStyle w:val="13"/>
        <w:jc w:val="left"/>
        <w:outlineLvl w:val="0"/>
        <w:rPr>
          <w:rFonts w:ascii="Times New Roman" w:hAnsi="Times New Roman"/>
          <w:b/>
          <w:sz w:val="36"/>
        </w:rPr>
      </w:pPr>
    </w:p>
    <w:bookmarkEnd w:id="13"/>
    <w:bookmarkEnd w:id="14"/>
    <w:bookmarkEnd w:id="15"/>
    <w:bookmarkEnd w:id="16"/>
    <w:p>
      <w:pPr>
        <w:pStyle w:val="13"/>
        <w:jc w:val="center"/>
        <w:outlineLvl w:val="0"/>
        <w:rPr>
          <w:rFonts w:ascii="方正小标宋简体" w:hAnsi="Times New Roman" w:eastAsia="方正小标宋简体"/>
          <w:bCs/>
          <w:sz w:val="44"/>
          <w:szCs w:val="44"/>
        </w:rPr>
      </w:pPr>
      <w:bookmarkStart w:id="32" w:name="_Toc519678419"/>
    </w:p>
    <w:p>
      <w:pPr>
        <w:pStyle w:val="13"/>
        <w:jc w:val="center"/>
        <w:outlineLvl w:val="0"/>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第三章  评审办法</w:t>
      </w:r>
      <w:bookmarkEnd w:id="32"/>
    </w:p>
    <w:p>
      <w:pPr>
        <w:pStyle w:val="13"/>
        <w:jc w:val="center"/>
        <w:outlineLvl w:val="0"/>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评审办法前附表</w:t>
      </w:r>
    </w:p>
    <w:tbl>
      <w:tblPr>
        <w:tblStyle w:val="2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10"/>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93" w:type="dxa"/>
            <w:vAlign w:val="center"/>
          </w:tcPr>
          <w:p>
            <w:pPr>
              <w:spacing w:line="380" w:lineRule="exact"/>
              <w:jc w:val="center"/>
              <w:rPr>
                <w:rFonts w:hint="eastAsia" w:ascii="楷体_GB2312" w:hAnsi="宋体" w:eastAsia="楷体_GB2312" w:cs="宋体"/>
                <w:b/>
                <w:sz w:val="24"/>
              </w:rPr>
            </w:pPr>
            <w:bookmarkStart w:id="33" w:name="_Toc401396863"/>
            <w:r>
              <w:rPr>
                <w:rFonts w:hint="eastAsia" w:ascii="楷体_GB2312" w:hAnsi="宋体" w:eastAsia="楷体_GB2312" w:cs="宋体"/>
                <w:b/>
                <w:sz w:val="24"/>
              </w:rPr>
              <w:t>条款号</w:t>
            </w:r>
          </w:p>
        </w:tc>
        <w:tc>
          <w:tcPr>
            <w:tcW w:w="1710" w:type="dxa"/>
            <w:vAlign w:val="center"/>
          </w:tcPr>
          <w:p>
            <w:pPr>
              <w:spacing w:line="380" w:lineRule="exact"/>
              <w:jc w:val="center"/>
              <w:rPr>
                <w:rFonts w:hint="eastAsia" w:ascii="楷体_GB2312" w:hAnsi="宋体" w:eastAsia="楷体_GB2312" w:cs="宋体"/>
                <w:b/>
                <w:sz w:val="24"/>
              </w:rPr>
            </w:pPr>
            <w:r>
              <w:rPr>
                <w:rFonts w:hint="eastAsia" w:ascii="楷体_GB2312" w:hAnsi="宋体" w:eastAsia="楷体_GB2312" w:cs="宋体"/>
                <w:b/>
                <w:sz w:val="24"/>
              </w:rPr>
              <w:t>评审因素</w:t>
            </w:r>
          </w:p>
        </w:tc>
        <w:tc>
          <w:tcPr>
            <w:tcW w:w="6443" w:type="dxa"/>
            <w:vAlign w:val="center"/>
          </w:tcPr>
          <w:p>
            <w:pPr>
              <w:spacing w:line="380" w:lineRule="exact"/>
              <w:jc w:val="center"/>
              <w:rPr>
                <w:rFonts w:hint="eastAsia" w:ascii="楷体_GB2312" w:hAnsi="宋体" w:eastAsia="楷体_GB2312" w:cs="宋体"/>
                <w:b/>
                <w:sz w:val="24"/>
              </w:rPr>
            </w:pPr>
            <w:r>
              <w:rPr>
                <w:rFonts w:hint="eastAsia" w:ascii="楷体_GB2312" w:hAnsi="宋体" w:eastAsia="楷体_GB2312"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993" w:type="dxa"/>
            <w:vAlign w:val="center"/>
          </w:tcPr>
          <w:p>
            <w:pPr>
              <w:spacing w:line="380" w:lineRule="exact"/>
              <w:jc w:val="center"/>
              <w:rPr>
                <w:rFonts w:eastAsia="楷体_GB2312"/>
                <w:bCs/>
                <w:sz w:val="24"/>
              </w:rPr>
            </w:pPr>
            <w:r>
              <w:rPr>
                <w:rFonts w:hint="eastAsia" w:eastAsia="楷体_GB2312"/>
                <w:bCs/>
                <w:sz w:val="24"/>
              </w:rPr>
              <w:t>1</w:t>
            </w:r>
          </w:p>
        </w:tc>
        <w:tc>
          <w:tcPr>
            <w:tcW w:w="1710" w:type="dxa"/>
            <w:vAlign w:val="center"/>
          </w:tcPr>
          <w:p>
            <w:pPr>
              <w:spacing w:line="380" w:lineRule="exact"/>
              <w:jc w:val="center"/>
              <w:rPr>
                <w:rFonts w:hint="eastAsia" w:ascii="楷体_GB2312" w:hAnsi="宋体" w:eastAsia="楷体_GB2312" w:cs="宋体"/>
                <w:b/>
                <w:sz w:val="24"/>
              </w:rPr>
            </w:pPr>
            <w:r>
              <w:rPr>
                <w:rFonts w:hint="eastAsia" w:ascii="楷体_GB2312" w:hAnsi="宋体" w:eastAsia="楷体_GB2312" w:cs="宋体"/>
                <w:sz w:val="24"/>
              </w:rPr>
              <w:t>评审方法</w:t>
            </w:r>
          </w:p>
        </w:tc>
        <w:tc>
          <w:tcPr>
            <w:tcW w:w="6443" w:type="dxa"/>
            <w:vAlign w:val="center"/>
          </w:tcPr>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评审方法采用综合评估法。</w:t>
            </w:r>
          </w:p>
          <w:p>
            <w:pPr>
              <w:spacing w:line="380" w:lineRule="exact"/>
              <w:jc w:val="left"/>
              <w:rPr>
                <w:rFonts w:hint="eastAsia" w:ascii="楷体_GB2312" w:hAnsi="宋体" w:eastAsia="楷体_GB2312" w:cs="宋体"/>
                <w:b/>
                <w:sz w:val="24"/>
              </w:rPr>
            </w:pPr>
            <w:r>
              <w:rPr>
                <w:rFonts w:hint="eastAsia" w:ascii="楷体_GB2312" w:hAnsi="宋体" w:eastAsia="楷体_GB2312" w:cs="宋体"/>
                <w:sz w:val="24"/>
              </w:rPr>
              <w:t>最终得分相等时，以评审价格低的优先；评审价格也相等的，以技术得分高的优先；如果技术得分也相等，以供应商业绩从多到少排序；若业绩仍相同，以供应商上一年度净利润从多到少排序。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2" w:hRule="atLeast"/>
          <w:jc w:val="center"/>
        </w:trPr>
        <w:tc>
          <w:tcPr>
            <w:tcW w:w="993" w:type="dxa"/>
            <w:vAlign w:val="center"/>
          </w:tcPr>
          <w:p>
            <w:pPr>
              <w:spacing w:line="380" w:lineRule="exact"/>
              <w:jc w:val="center"/>
              <w:rPr>
                <w:rFonts w:eastAsia="楷体_GB2312"/>
                <w:bCs/>
                <w:sz w:val="24"/>
              </w:rPr>
            </w:pPr>
            <w:r>
              <w:rPr>
                <w:rFonts w:hint="eastAsia" w:eastAsia="楷体_GB2312"/>
                <w:bCs/>
                <w:sz w:val="24"/>
              </w:rPr>
              <w:t>2.1</w:t>
            </w:r>
          </w:p>
        </w:tc>
        <w:tc>
          <w:tcPr>
            <w:tcW w:w="1710" w:type="dxa"/>
            <w:vAlign w:val="center"/>
          </w:tcPr>
          <w:p>
            <w:pPr>
              <w:spacing w:line="380" w:lineRule="exact"/>
              <w:jc w:val="center"/>
              <w:rPr>
                <w:rFonts w:hint="eastAsia" w:ascii="楷体_GB2312" w:hAnsi="宋体" w:eastAsia="楷体_GB2312" w:cs="宋体"/>
                <w:b/>
                <w:sz w:val="24"/>
              </w:rPr>
            </w:pPr>
            <w:r>
              <w:rPr>
                <w:rFonts w:hint="eastAsia" w:ascii="楷体_GB2312" w:hAnsi="宋体" w:eastAsia="楷体_GB2312" w:cs="宋体"/>
                <w:sz w:val="24"/>
              </w:rPr>
              <w:t>初步评审（形式评审标准、资格评审标准、响应性评审标准）</w:t>
            </w:r>
          </w:p>
        </w:tc>
        <w:tc>
          <w:tcPr>
            <w:tcW w:w="6443" w:type="dxa"/>
            <w:vAlign w:val="center"/>
          </w:tcPr>
          <w:p>
            <w:pPr>
              <w:spacing w:line="380" w:lineRule="exact"/>
              <w:jc w:val="left"/>
              <w:rPr>
                <w:rFonts w:hint="eastAsia" w:ascii="楷体_GB2312" w:hAnsi="宋体" w:eastAsia="楷体_GB2312" w:cs="宋体"/>
                <w:sz w:val="24"/>
              </w:rPr>
            </w:pPr>
            <w:r>
              <w:rPr>
                <w:rFonts w:hint="eastAsia" w:eastAsia="楷体_GB2312"/>
                <w:bCs/>
                <w:sz w:val="24"/>
              </w:rPr>
              <w:t>（1）</w:t>
            </w:r>
            <w:r>
              <w:rPr>
                <w:rFonts w:hint="eastAsia" w:ascii="楷体_GB2312" w:hAnsi="宋体" w:eastAsia="楷体_GB2312" w:cs="宋体"/>
                <w:sz w:val="24"/>
              </w:rPr>
              <w:t>供应商资格条件满足采购文件要求（以询价比选采购公告规定的供应商资格条件为准）；</w:t>
            </w:r>
          </w:p>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w:t>
            </w:r>
            <w:r>
              <w:rPr>
                <w:rFonts w:hint="eastAsia" w:eastAsia="楷体_GB2312"/>
                <w:bCs/>
                <w:sz w:val="24"/>
              </w:rPr>
              <w:t>2</w:t>
            </w:r>
            <w:r>
              <w:rPr>
                <w:rFonts w:hint="eastAsia" w:ascii="楷体_GB2312" w:hAnsi="宋体" w:eastAsia="楷体_GB2312" w:cs="宋体"/>
                <w:sz w:val="24"/>
              </w:rPr>
              <w:t>）供应商按采购文件要求足额提交响应保证金（若采购文件未规定提交响应保证金，则本条不适用）；</w:t>
            </w:r>
          </w:p>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w:t>
            </w:r>
            <w:r>
              <w:rPr>
                <w:rFonts w:hint="eastAsia" w:eastAsia="楷体_GB2312"/>
                <w:bCs/>
                <w:sz w:val="24"/>
              </w:rPr>
              <w:t>3</w:t>
            </w:r>
            <w:r>
              <w:rPr>
                <w:rFonts w:hint="eastAsia" w:ascii="楷体_GB2312" w:hAnsi="宋体" w:eastAsia="楷体_GB2312" w:cs="宋体"/>
                <w:sz w:val="24"/>
              </w:rPr>
              <w:t>）</w:t>
            </w:r>
            <w:r>
              <w:rPr>
                <w:rFonts w:hint="eastAsia" w:ascii="楷体_GB2312" w:hAnsi="宋体" w:eastAsia="楷体_GB2312" w:cs="Arial"/>
                <w:color w:val="000000"/>
                <w:sz w:val="24"/>
              </w:rPr>
              <w:t>响应文件经供应商盖单位公章（或单位电子印章）</w:t>
            </w:r>
            <w:r>
              <w:rPr>
                <w:rFonts w:hint="eastAsia" w:ascii="楷体_GB2312" w:hAnsi="宋体" w:eastAsia="楷体_GB2312" w:cs="宋体"/>
                <w:sz w:val="24"/>
              </w:rPr>
              <w:t>；</w:t>
            </w:r>
          </w:p>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w:t>
            </w:r>
            <w:r>
              <w:rPr>
                <w:rFonts w:hint="eastAsia" w:eastAsia="楷体_GB2312"/>
                <w:bCs/>
                <w:sz w:val="24"/>
              </w:rPr>
              <w:t>4</w:t>
            </w:r>
            <w:r>
              <w:rPr>
                <w:rFonts w:hint="eastAsia" w:ascii="楷体_GB2312" w:hAnsi="宋体" w:eastAsia="楷体_GB2312" w:cs="宋体"/>
                <w:sz w:val="24"/>
              </w:rPr>
              <w:t>）同一供应商未提交两个以上不同的响应文件或者竞标报价（采购文件要求提交备选方案的除外）；</w:t>
            </w:r>
          </w:p>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w:t>
            </w:r>
            <w:r>
              <w:rPr>
                <w:rFonts w:hint="eastAsia" w:eastAsia="楷体_GB2312"/>
                <w:bCs/>
                <w:sz w:val="24"/>
              </w:rPr>
              <w:t>5</w:t>
            </w:r>
            <w:r>
              <w:rPr>
                <w:rFonts w:hint="eastAsia" w:ascii="楷体_GB2312" w:hAnsi="宋体" w:eastAsia="楷体_GB2312" w:cs="宋体"/>
                <w:sz w:val="24"/>
              </w:rPr>
              <w:t>）响应文件无重大技术偏离或商务偏离；</w:t>
            </w:r>
          </w:p>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w:t>
            </w:r>
            <w:r>
              <w:rPr>
                <w:rFonts w:hint="eastAsia" w:eastAsia="楷体_GB2312"/>
                <w:bCs/>
                <w:sz w:val="24"/>
              </w:rPr>
              <w:t>6</w:t>
            </w:r>
            <w:r>
              <w:rPr>
                <w:rFonts w:hint="eastAsia" w:ascii="楷体_GB2312" w:hAnsi="宋体" w:eastAsia="楷体_GB2312" w:cs="宋体"/>
                <w:sz w:val="24"/>
              </w:rPr>
              <w:t>）响应文件无采购人不能接受的附加条件；</w:t>
            </w:r>
          </w:p>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w:t>
            </w:r>
            <w:r>
              <w:rPr>
                <w:rFonts w:hint="eastAsia" w:eastAsia="楷体_GB2312"/>
                <w:bCs/>
                <w:sz w:val="24"/>
              </w:rPr>
              <w:t>7</w:t>
            </w:r>
            <w:r>
              <w:rPr>
                <w:rFonts w:hint="eastAsia" w:ascii="楷体_GB2312" w:hAnsi="宋体" w:eastAsia="楷体_GB2312" w:cs="宋体"/>
                <w:sz w:val="24"/>
              </w:rPr>
              <w:t>）供应商竞标报价未超出最高限价（若采购文件未规定最高限价，则本条不适用）；</w:t>
            </w:r>
          </w:p>
          <w:p>
            <w:pPr>
              <w:spacing w:line="380" w:lineRule="exact"/>
              <w:jc w:val="left"/>
              <w:rPr>
                <w:rFonts w:hint="eastAsia" w:ascii="楷体_GB2312" w:hAnsi="宋体" w:eastAsia="楷体_GB2312" w:cs="宋体"/>
                <w:sz w:val="24"/>
              </w:rPr>
            </w:pPr>
            <w:r>
              <w:rPr>
                <w:rFonts w:hint="eastAsia" w:ascii="楷体_GB2312" w:hAnsi="宋体" w:eastAsia="楷体_GB2312" w:cs="宋体"/>
                <w:sz w:val="24"/>
              </w:rPr>
              <w:t>（</w:t>
            </w:r>
            <w:r>
              <w:rPr>
                <w:rFonts w:hint="eastAsia" w:eastAsia="楷体_GB2312"/>
                <w:bCs/>
                <w:sz w:val="24"/>
              </w:rPr>
              <w:t>8</w:t>
            </w:r>
            <w:r>
              <w:rPr>
                <w:rFonts w:hint="eastAsia" w:ascii="楷体_GB2312" w:hAnsi="宋体" w:eastAsia="楷体_GB2312" w:cs="宋体"/>
                <w:sz w:val="24"/>
              </w:rPr>
              <w:t>）供应商无采购文件规定的其他否决条款。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jc w:val="center"/>
        </w:trPr>
        <w:tc>
          <w:tcPr>
            <w:tcW w:w="993" w:type="dxa"/>
            <w:vAlign w:val="center"/>
          </w:tcPr>
          <w:p>
            <w:pPr>
              <w:spacing w:line="380" w:lineRule="exact"/>
              <w:jc w:val="center"/>
              <w:rPr>
                <w:rFonts w:eastAsia="楷体_GB2312"/>
                <w:bCs/>
                <w:sz w:val="24"/>
              </w:rPr>
            </w:pPr>
            <w:r>
              <w:rPr>
                <w:rFonts w:hint="eastAsia" w:eastAsia="楷体_GB2312"/>
                <w:bCs/>
                <w:sz w:val="24"/>
              </w:rPr>
              <w:t>3.2</w:t>
            </w:r>
          </w:p>
        </w:tc>
        <w:tc>
          <w:tcPr>
            <w:tcW w:w="1710" w:type="dxa"/>
            <w:vAlign w:val="center"/>
          </w:tcPr>
          <w:p>
            <w:pPr>
              <w:jc w:val="center"/>
              <w:rPr>
                <w:rFonts w:hint="eastAsia" w:ascii="楷体_GB2312" w:hAnsi="宋体" w:eastAsia="楷体_GB2312" w:cs="宋体"/>
                <w:sz w:val="24"/>
              </w:rPr>
            </w:pPr>
            <w:r>
              <w:rPr>
                <w:rFonts w:hint="eastAsia" w:ascii="楷体_GB2312" w:hAnsi="宋体" w:eastAsia="楷体_GB2312" w:cs="宋体"/>
                <w:sz w:val="24"/>
              </w:rPr>
              <w:t>分值构成</w:t>
            </w:r>
          </w:p>
          <w:p>
            <w:pPr>
              <w:jc w:val="center"/>
              <w:rPr>
                <w:rFonts w:hint="eastAsia" w:ascii="楷体_GB2312" w:hAnsi="宋体" w:eastAsia="楷体_GB2312" w:cs="宋体"/>
                <w:sz w:val="24"/>
              </w:rPr>
            </w:pPr>
            <w:r>
              <w:rPr>
                <w:rFonts w:hint="eastAsia" w:ascii="楷体_GB2312" w:hAnsi="宋体" w:eastAsia="楷体_GB2312" w:cs="宋体"/>
                <w:sz w:val="24"/>
              </w:rPr>
              <w:t xml:space="preserve">（总分 </w:t>
            </w:r>
            <w:r>
              <w:rPr>
                <w:rFonts w:hint="eastAsia" w:eastAsia="楷体_GB2312"/>
                <w:bCs/>
                <w:sz w:val="24"/>
              </w:rPr>
              <w:t xml:space="preserve">100 </w:t>
            </w:r>
            <w:r>
              <w:rPr>
                <w:rFonts w:hint="eastAsia" w:ascii="楷体_GB2312" w:hAnsi="宋体" w:eastAsia="楷体_GB2312" w:cs="宋体"/>
                <w:sz w:val="24"/>
              </w:rPr>
              <w:t>分）</w:t>
            </w:r>
          </w:p>
        </w:tc>
        <w:tc>
          <w:tcPr>
            <w:tcW w:w="6443" w:type="dxa"/>
            <w:vAlign w:val="center"/>
          </w:tcPr>
          <w:p>
            <w:pPr>
              <w:spacing w:line="380" w:lineRule="exact"/>
              <w:jc w:val="left"/>
              <w:rPr>
                <w:rFonts w:ascii="楷体_GB2312" w:eastAsia="楷体_GB2312"/>
                <w:sz w:val="24"/>
                <w:szCs w:val="22"/>
              </w:rPr>
            </w:pPr>
            <w:r>
              <w:rPr>
                <w:rFonts w:hint="eastAsia" w:eastAsia="楷体_GB2312"/>
                <w:bCs/>
                <w:sz w:val="24"/>
              </w:rPr>
              <w:t>（1）</w:t>
            </w:r>
            <w:r>
              <w:rPr>
                <w:rFonts w:hint="eastAsia" w:ascii="楷体_GB2312" w:eastAsia="楷体_GB2312"/>
                <w:sz w:val="24"/>
                <w:szCs w:val="22"/>
              </w:rPr>
              <w:t>商务部分：</w:t>
            </w:r>
            <w:r>
              <w:rPr>
                <w:rFonts w:hint="eastAsia" w:eastAsia="楷体_GB2312"/>
                <w:bCs/>
                <w:sz w:val="24"/>
              </w:rPr>
              <w:t>100</w:t>
            </w:r>
            <w:r>
              <w:rPr>
                <w:rFonts w:hint="eastAsia" w:ascii="楷体_GB2312" w:eastAsia="楷体_GB2312"/>
                <w:sz w:val="24"/>
                <w:szCs w:val="22"/>
              </w:rPr>
              <w:t>分，权重</w:t>
            </w:r>
            <w:r>
              <w:rPr>
                <w:rFonts w:hint="eastAsia" w:eastAsia="楷体_GB2312"/>
                <w:bCs/>
                <w:sz w:val="24"/>
              </w:rPr>
              <w:t>10%</w:t>
            </w:r>
            <w:r>
              <w:rPr>
                <w:rFonts w:hint="eastAsia" w:ascii="楷体_GB2312" w:eastAsia="楷体_GB2312"/>
                <w:sz w:val="24"/>
                <w:szCs w:val="22"/>
              </w:rPr>
              <w:t>。</w:t>
            </w:r>
          </w:p>
          <w:p>
            <w:pPr>
              <w:spacing w:line="380" w:lineRule="exact"/>
              <w:jc w:val="left"/>
              <w:rPr>
                <w:rFonts w:ascii="楷体_GB2312" w:eastAsia="楷体_GB2312"/>
                <w:sz w:val="24"/>
                <w:szCs w:val="22"/>
              </w:rPr>
            </w:pPr>
            <w:r>
              <w:rPr>
                <w:rFonts w:hint="eastAsia" w:ascii="楷体_GB2312" w:eastAsia="楷体_GB2312"/>
                <w:sz w:val="24"/>
                <w:szCs w:val="22"/>
              </w:rPr>
              <w:t>（</w:t>
            </w:r>
            <w:r>
              <w:rPr>
                <w:rFonts w:hint="eastAsia" w:eastAsia="楷体_GB2312"/>
                <w:bCs/>
                <w:sz w:val="24"/>
              </w:rPr>
              <w:t>2</w:t>
            </w:r>
            <w:r>
              <w:rPr>
                <w:rFonts w:hint="eastAsia" w:ascii="楷体_GB2312" w:eastAsia="楷体_GB2312"/>
                <w:sz w:val="24"/>
                <w:szCs w:val="22"/>
              </w:rPr>
              <w:t>）技术部分：</w:t>
            </w:r>
            <w:r>
              <w:rPr>
                <w:rFonts w:hint="eastAsia" w:eastAsia="楷体_GB2312"/>
                <w:bCs/>
                <w:sz w:val="24"/>
              </w:rPr>
              <w:t>100</w:t>
            </w:r>
            <w:r>
              <w:rPr>
                <w:rFonts w:hint="eastAsia" w:ascii="楷体_GB2312" w:eastAsia="楷体_GB2312"/>
                <w:sz w:val="24"/>
                <w:szCs w:val="22"/>
              </w:rPr>
              <w:t>分，权重</w:t>
            </w:r>
            <w:r>
              <w:rPr>
                <w:rFonts w:hint="eastAsia" w:eastAsia="楷体_GB2312"/>
                <w:bCs/>
                <w:sz w:val="24"/>
              </w:rPr>
              <w:t>40%</w:t>
            </w:r>
            <w:r>
              <w:rPr>
                <w:rFonts w:hint="eastAsia" w:ascii="楷体_GB2312" w:eastAsia="楷体_GB2312"/>
                <w:sz w:val="24"/>
                <w:szCs w:val="22"/>
              </w:rPr>
              <w:t>。</w:t>
            </w:r>
          </w:p>
          <w:p>
            <w:pPr>
              <w:spacing w:line="380" w:lineRule="exact"/>
              <w:jc w:val="left"/>
              <w:rPr>
                <w:rFonts w:ascii="楷体_GB2312" w:eastAsia="楷体_GB2312"/>
              </w:rPr>
            </w:pPr>
            <w:r>
              <w:rPr>
                <w:rFonts w:hint="eastAsia" w:ascii="楷体_GB2312" w:eastAsia="楷体_GB2312"/>
                <w:sz w:val="24"/>
                <w:szCs w:val="22"/>
              </w:rPr>
              <w:t>（</w:t>
            </w:r>
            <w:r>
              <w:rPr>
                <w:rFonts w:hint="eastAsia" w:eastAsia="楷体_GB2312"/>
                <w:bCs/>
                <w:sz w:val="24"/>
              </w:rPr>
              <w:t>3</w:t>
            </w:r>
            <w:r>
              <w:rPr>
                <w:rFonts w:hint="eastAsia" w:ascii="楷体_GB2312" w:eastAsia="楷体_GB2312"/>
                <w:sz w:val="24"/>
                <w:szCs w:val="22"/>
              </w:rPr>
              <w:t>）价格部分：</w:t>
            </w:r>
            <w:r>
              <w:rPr>
                <w:rFonts w:hint="eastAsia" w:eastAsia="楷体_GB2312"/>
                <w:bCs/>
                <w:sz w:val="24"/>
              </w:rPr>
              <w:t>100</w:t>
            </w:r>
            <w:r>
              <w:rPr>
                <w:rFonts w:hint="eastAsia" w:ascii="楷体_GB2312" w:eastAsia="楷体_GB2312"/>
                <w:sz w:val="24"/>
                <w:szCs w:val="22"/>
              </w:rPr>
              <w:t>分，权重</w:t>
            </w:r>
            <w:r>
              <w:rPr>
                <w:rFonts w:hint="eastAsia" w:eastAsia="楷体_GB2312"/>
                <w:bCs/>
                <w:sz w:val="24"/>
              </w:rPr>
              <w:t>50%</w:t>
            </w:r>
            <w:r>
              <w:rPr>
                <w:rFonts w:hint="eastAsia" w:ascii="楷体_GB2312" w:eastAsia="楷体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993" w:type="dxa"/>
            <w:vAlign w:val="center"/>
          </w:tcPr>
          <w:p>
            <w:pPr>
              <w:spacing w:line="380" w:lineRule="exact"/>
              <w:jc w:val="center"/>
              <w:rPr>
                <w:rFonts w:eastAsia="楷体_GB2312"/>
                <w:bCs/>
                <w:sz w:val="24"/>
              </w:rPr>
            </w:pPr>
            <w:r>
              <w:rPr>
                <w:rFonts w:hint="eastAsia" w:eastAsia="楷体_GB2312"/>
                <w:bCs/>
                <w:sz w:val="24"/>
              </w:rPr>
              <w:t>3.2.2</w:t>
            </w:r>
          </w:p>
        </w:tc>
        <w:tc>
          <w:tcPr>
            <w:tcW w:w="1710" w:type="dxa"/>
            <w:vAlign w:val="center"/>
          </w:tcPr>
          <w:p>
            <w:pPr>
              <w:jc w:val="center"/>
              <w:rPr>
                <w:rFonts w:hint="eastAsia" w:ascii="楷体_GB2312" w:hAnsi="宋体" w:eastAsia="楷体_GB2312" w:cs="宋体"/>
                <w:sz w:val="24"/>
              </w:rPr>
            </w:pPr>
            <w:r>
              <w:rPr>
                <w:rFonts w:hint="eastAsia" w:ascii="楷体_GB2312" w:hAnsi="宋体" w:eastAsia="楷体_GB2312" w:cs="宋体"/>
                <w:sz w:val="24"/>
              </w:rPr>
              <w:t>商务评分标准</w:t>
            </w:r>
          </w:p>
        </w:tc>
        <w:tc>
          <w:tcPr>
            <w:tcW w:w="6443" w:type="dxa"/>
            <w:vAlign w:val="center"/>
          </w:tcPr>
          <w:p>
            <w:pPr>
              <w:widowControl/>
              <w:jc w:val="left"/>
              <w:rPr>
                <w:rFonts w:hint="eastAsia" w:ascii="楷体_GB2312" w:hAnsi="宋体" w:eastAsia="楷体_GB2312" w:cs="宋体"/>
                <w:sz w:val="24"/>
              </w:rPr>
            </w:pPr>
            <w:r>
              <w:rPr>
                <w:rFonts w:hint="eastAsia" w:ascii="楷体_GB2312" w:hAnsi="宋体" w:eastAsia="楷体_GB2312" w:cs="宋体"/>
                <w:sz w:val="24"/>
              </w:rPr>
              <w:t>详见附件一：商务评审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93" w:type="dxa"/>
            <w:vAlign w:val="center"/>
          </w:tcPr>
          <w:p>
            <w:pPr>
              <w:spacing w:line="380" w:lineRule="exact"/>
              <w:jc w:val="center"/>
              <w:rPr>
                <w:rFonts w:eastAsia="楷体_GB2312"/>
                <w:bCs/>
                <w:sz w:val="24"/>
              </w:rPr>
            </w:pPr>
            <w:r>
              <w:rPr>
                <w:rFonts w:hint="eastAsia" w:eastAsia="楷体_GB2312"/>
                <w:bCs/>
                <w:sz w:val="24"/>
              </w:rPr>
              <w:t>3.2.2</w:t>
            </w:r>
          </w:p>
        </w:tc>
        <w:tc>
          <w:tcPr>
            <w:tcW w:w="1710" w:type="dxa"/>
            <w:vAlign w:val="center"/>
          </w:tcPr>
          <w:p>
            <w:pPr>
              <w:jc w:val="center"/>
              <w:rPr>
                <w:rFonts w:hint="eastAsia" w:ascii="楷体_GB2312" w:hAnsi="宋体" w:eastAsia="楷体_GB2312" w:cs="宋体"/>
                <w:sz w:val="24"/>
              </w:rPr>
            </w:pPr>
            <w:r>
              <w:rPr>
                <w:rFonts w:hint="eastAsia" w:ascii="楷体_GB2312" w:hAnsi="宋体" w:eastAsia="楷体_GB2312" w:cs="宋体"/>
                <w:sz w:val="24"/>
              </w:rPr>
              <w:t>技术评分标准</w:t>
            </w:r>
          </w:p>
        </w:tc>
        <w:tc>
          <w:tcPr>
            <w:tcW w:w="6443" w:type="dxa"/>
            <w:vAlign w:val="center"/>
          </w:tcPr>
          <w:p>
            <w:pPr>
              <w:jc w:val="left"/>
              <w:rPr>
                <w:rFonts w:hint="eastAsia" w:ascii="楷体_GB2312" w:hAnsi="宋体" w:eastAsia="楷体_GB2312" w:cs="宋体"/>
                <w:sz w:val="24"/>
              </w:rPr>
            </w:pPr>
            <w:r>
              <w:rPr>
                <w:rFonts w:hint="eastAsia" w:ascii="楷体_GB2312" w:hAnsi="宋体" w:eastAsia="楷体_GB2312" w:cs="宋体"/>
                <w:sz w:val="24"/>
              </w:rPr>
              <w:t>详见附件二：技术评审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993" w:type="dxa"/>
            <w:vAlign w:val="center"/>
          </w:tcPr>
          <w:p>
            <w:pPr>
              <w:spacing w:line="380" w:lineRule="exact"/>
              <w:jc w:val="center"/>
              <w:rPr>
                <w:rFonts w:eastAsia="楷体_GB2312"/>
                <w:bCs/>
                <w:sz w:val="24"/>
              </w:rPr>
            </w:pPr>
            <w:r>
              <w:rPr>
                <w:rFonts w:hint="eastAsia" w:eastAsia="楷体_GB2312"/>
                <w:bCs/>
                <w:sz w:val="24"/>
              </w:rPr>
              <w:t>3.2.2</w:t>
            </w:r>
          </w:p>
        </w:tc>
        <w:tc>
          <w:tcPr>
            <w:tcW w:w="1710" w:type="dxa"/>
            <w:vAlign w:val="center"/>
          </w:tcPr>
          <w:p>
            <w:pPr>
              <w:jc w:val="center"/>
              <w:rPr>
                <w:rFonts w:hint="eastAsia" w:ascii="楷体_GB2312" w:hAnsi="宋体" w:eastAsia="楷体_GB2312" w:cs="宋体"/>
                <w:sz w:val="24"/>
              </w:rPr>
            </w:pPr>
            <w:r>
              <w:rPr>
                <w:rFonts w:hint="eastAsia" w:ascii="楷体_GB2312" w:hAnsi="宋体" w:eastAsia="楷体_GB2312" w:cs="宋体"/>
                <w:sz w:val="24"/>
              </w:rPr>
              <w:t>报价评分标准</w:t>
            </w:r>
          </w:p>
        </w:tc>
        <w:tc>
          <w:tcPr>
            <w:tcW w:w="6443" w:type="dxa"/>
            <w:vAlign w:val="center"/>
          </w:tcPr>
          <w:p>
            <w:pPr>
              <w:rPr>
                <w:rFonts w:hint="eastAsia" w:ascii="楷体_GB2312" w:hAnsi="宋体" w:eastAsia="楷体_GB2312" w:cs="宋体"/>
                <w:sz w:val="24"/>
              </w:rPr>
            </w:pPr>
            <w:r>
              <w:rPr>
                <w:rFonts w:hint="eastAsia" w:ascii="楷体_GB2312" w:hAnsi="宋体" w:eastAsia="楷体_GB2312" w:cs="宋体"/>
                <w:sz w:val="24"/>
              </w:rPr>
              <w:t>详见附件三：报价评审</w:t>
            </w:r>
          </w:p>
        </w:tc>
      </w:tr>
      <w:bookmarkEnd w:id="3"/>
      <w:bookmarkEnd w:id="4"/>
      <w:bookmarkEnd w:id="33"/>
    </w:tbl>
    <w:p>
      <w:pPr>
        <w:pStyle w:val="3"/>
        <w:spacing w:before="0" w:after="0" w:line="560" w:lineRule="exact"/>
        <w:ind w:firstLine="643" w:firstLineChars="200"/>
        <w:rPr>
          <w:rFonts w:ascii="Times New Roman" w:hAnsi="Times New Roman" w:eastAsia="仿宋_GB2312"/>
        </w:rPr>
      </w:pPr>
      <w:bookmarkStart w:id="34" w:name="_Toc22054"/>
      <w:bookmarkStart w:id="35" w:name="_Toc8508"/>
      <w:bookmarkStart w:id="36" w:name="bookmark493"/>
      <w:bookmarkStart w:id="37" w:name="bookmark494"/>
      <w:bookmarkStart w:id="38" w:name="_Toc8977"/>
      <w:bookmarkStart w:id="39" w:name="_Toc22696"/>
      <w:bookmarkStart w:id="40" w:name="bookmark492"/>
      <w:bookmarkStart w:id="41" w:name="_Toc213206175"/>
      <w:bookmarkStart w:id="42" w:name="_Toc213325924"/>
      <w:bookmarkStart w:id="43" w:name="_Toc519678420"/>
      <w:r>
        <w:rPr>
          <w:rFonts w:hint="eastAsia" w:ascii="Times New Roman" w:hAnsi="Times New Roman" w:eastAsia="仿宋_GB2312"/>
        </w:rPr>
        <w:t>1.评审方法</w:t>
      </w:r>
      <w:bookmarkEnd w:id="34"/>
      <w:bookmarkEnd w:id="35"/>
      <w:bookmarkEnd w:id="36"/>
      <w:bookmarkEnd w:id="37"/>
      <w:bookmarkEnd w:id="38"/>
      <w:bookmarkEnd w:id="39"/>
      <w:bookmarkEnd w:id="40"/>
    </w:p>
    <w:p>
      <w:pPr>
        <w:pStyle w:val="85"/>
        <w:spacing w:line="360" w:lineRule="auto"/>
        <w:ind w:firstLine="640" w:firstLineChars="200"/>
        <w:jc w:val="left"/>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本次评审采用综合评估法。评审小组对满足采购文件实质性要求的响应文件，按照本章第3条规定的评分标准进行打分，并按得分由高到低的顺序推荐候选成交供应商。</w:t>
      </w:r>
    </w:p>
    <w:p>
      <w:pPr>
        <w:pStyle w:val="3"/>
        <w:spacing w:before="0" w:after="0" w:line="560" w:lineRule="exact"/>
        <w:ind w:firstLine="643" w:firstLineChars="200"/>
        <w:rPr>
          <w:rFonts w:ascii="Times New Roman" w:hAnsi="Times New Roman" w:eastAsia="仿宋_GB2312"/>
        </w:rPr>
      </w:pPr>
      <w:bookmarkStart w:id="44" w:name="_Toc32168"/>
      <w:bookmarkStart w:id="45" w:name="_Toc30403"/>
      <w:bookmarkStart w:id="46" w:name="_Toc11607"/>
      <w:r>
        <w:rPr>
          <w:rFonts w:hint="eastAsia" w:ascii="Times New Roman" w:hAnsi="Times New Roman" w:eastAsia="仿宋_GB2312"/>
        </w:rPr>
        <w:t>2.初步评审标准和程序</w:t>
      </w:r>
      <w:bookmarkEnd w:id="44"/>
      <w:bookmarkEnd w:id="45"/>
      <w:bookmarkEnd w:id="46"/>
    </w:p>
    <w:p>
      <w:pPr>
        <w:pStyle w:val="4"/>
        <w:spacing w:line="560" w:lineRule="exact"/>
        <w:ind w:firstLine="640"/>
        <w:jc w:val="left"/>
        <w:rPr>
          <w:rFonts w:eastAsia="仿宋_GB2312"/>
          <w:b w:val="0"/>
          <w:bCs w:val="0"/>
        </w:rPr>
      </w:pPr>
      <w:bookmarkStart w:id="47" w:name="_Toc28885"/>
      <w:bookmarkStart w:id="48" w:name="bookmark505"/>
      <w:bookmarkStart w:id="49" w:name="bookmark504"/>
      <w:bookmarkStart w:id="50" w:name="_Toc10182"/>
      <w:bookmarkStart w:id="51" w:name="_Toc7400"/>
      <w:bookmarkStart w:id="52" w:name="bookmark506"/>
      <w:bookmarkStart w:id="53" w:name="_Toc2461"/>
      <w:r>
        <w:rPr>
          <w:rFonts w:hint="eastAsia" w:eastAsia="仿宋_GB2312"/>
          <w:b w:val="0"/>
          <w:bCs w:val="0"/>
        </w:rPr>
        <w:t>2.1 初步评审标准</w:t>
      </w:r>
      <w:bookmarkEnd w:id="47"/>
      <w:bookmarkEnd w:id="48"/>
      <w:bookmarkEnd w:id="49"/>
      <w:bookmarkEnd w:id="50"/>
      <w:bookmarkEnd w:id="51"/>
      <w:bookmarkEnd w:id="52"/>
      <w:bookmarkEnd w:id="53"/>
    </w:p>
    <w:p>
      <w:pPr>
        <w:pStyle w:val="4"/>
        <w:spacing w:line="560" w:lineRule="exact"/>
        <w:ind w:firstLine="640"/>
        <w:jc w:val="left"/>
        <w:rPr>
          <w:rFonts w:eastAsia="仿宋_GB2312"/>
          <w:b w:val="0"/>
          <w:bCs w:val="0"/>
        </w:rPr>
      </w:pPr>
      <w:r>
        <w:rPr>
          <w:rFonts w:hint="eastAsia" w:eastAsia="仿宋_GB2312"/>
          <w:b w:val="0"/>
          <w:bCs w:val="0"/>
        </w:rPr>
        <w:t>2.1.1 形式评审标准：见评审办法前附表。</w:t>
      </w:r>
    </w:p>
    <w:p>
      <w:pPr>
        <w:pStyle w:val="4"/>
        <w:spacing w:line="560" w:lineRule="exact"/>
        <w:ind w:firstLine="640"/>
        <w:jc w:val="left"/>
        <w:rPr>
          <w:rFonts w:eastAsia="仿宋_GB2312"/>
          <w:b w:val="0"/>
          <w:bCs w:val="0"/>
        </w:rPr>
      </w:pPr>
      <w:r>
        <w:rPr>
          <w:rFonts w:hint="eastAsia" w:eastAsia="仿宋_GB2312"/>
          <w:b w:val="0"/>
          <w:bCs w:val="0"/>
        </w:rPr>
        <w:t>2.1.2 资格评审标准：见评审办法前附表。</w:t>
      </w:r>
    </w:p>
    <w:p>
      <w:pPr>
        <w:pStyle w:val="4"/>
        <w:spacing w:line="560" w:lineRule="exact"/>
        <w:ind w:firstLine="640"/>
        <w:jc w:val="left"/>
        <w:rPr>
          <w:rFonts w:eastAsia="仿宋_GB2312"/>
        </w:rPr>
      </w:pPr>
      <w:bookmarkStart w:id="54" w:name="bookmark507"/>
      <w:bookmarkEnd w:id="54"/>
      <w:r>
        <w:rPr>
          <w:rFonts w:hint="eastAsia" w:eastAsia="仿宋_GB2312"/>
          <w:b w:val="0"/>
          <w:bCs w:val="0"/>
        </w:rPr>
        <w:t>2.1.3 响应性评审标准：见评审办法前附表</w:t>
      </w:r>
      <w:r>
        <w:rPr>
          <w:rFonts w:hint="eastAsia" w:eastAsia="仿宋_GB2312"/>
        </w:rPr>
        <w:t>。</w:t>
      </w:r>
    </w:p>
    <w:p>
      <w:pPr>
        <w:pStyle w:val="4"/>
        <w:spacing w:line="560" w:lineRule="exact"/>
        <w:ind w:firstLine="640"/>
        <w:jc w:val="left"/>
        <w:rPr>
          <w:rFonts w:eastAsia="仿宋_GB2312"/>
          <w:b w:val="0"/>
          <w:bCs w:val="0"/>
        </w:rPr>
      </w:pPr>
      <w:bookmarkStart w:id="55" w:name="bookmark509"/>
      <w:bookmarkStart w:id="56" w:name="_Toc13646"/>
      <w:bookmarkStart w:id="57" w:name="bookmark510"/>
      <w:bookmarkStart w:id="58" w:name="_Toc26329"/>
      <w:bookmarkStart w:id="59" w:name="_Toc83"/>
      <w:bookmarkStart w:id="60" w:name="bookmark508"/>
      <w:bookmarkStart w:id="61" w:name="_Toc1019"/>
      <w:r>
        <w:rPr>
          <w:rFonts w:hint="eastAsia" w:eastAsia="仿宋_GB2312"/>
          <w:b w:val="0"/>
          <w:bCs w:val="0"/>
        </w:rPr>
        <w:t>2.2 初步评审程序</w:t>
      </w:r>
      <w:bookmarkEnd w:id="55"/>
      <w:bookmarkEnd w:id="56"/>
      <w:bookmarkEnd w:id="57"/>
      <w:bookmarkEnd w:id="58"/>
      <w:bookmarkEnd w:id="59"/>
      <w:bookmarkEnd w:id="60"/>
      <w:bookmarkEnd w:id="61"/>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62" w:name="bookmark511"/>
      <w:bookmarkEnd w:id="62"/>
      <w:r>
        <w:rPr>
          <w:rFonts w:hint="eastAsia" w:ascii="Times New Roman" w:hAnsi="Times New Roman" w:eastAsia="仿宋_GB2312" w:cs="Times New Roman"/>
          <w:sz w:val="32"/>
          <w:szCs w:val="32"/>
          <w:lang w:val="en-US" w:eastAsia="zh-CN" w:bidi="en-US"/>
        </w:rPr>
        <w:t>2.2.1 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 xml:space="preserve">2.2.2 </w:t>
      </w:r>
      <w:bookmarkStart w:id="63" w:name="bookmark512"/>
      <w:bookmarkEnd w:id="63"/>
      <w:bookmarkStart w:id="64" w:name="bookmark513"/>
      <w:bookmarkStart w:id="65" w:name="bookmark515"/>
      <w:bookmarkStart w:id="66" w:name="bookmark514"/>
      <w:bookmarkStart w:id="67" w:name="_Toc12111"/>
      <w:r>
        <w:rPr>
          <w:rFonts w:hint="eastAsia" w:ascii="Times New Roman" w:hAnsi="Times New Roman" w:eastAsia="仿宋_GB2312" w:cs="Times New Roman"/>
          <w:sz w:val="32"/>
          <w:szCs w:val="32"/>
          <w:lang w:val="en-US" w:eastAsia="zh-CN" w:bidi="en-US"/>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响应报价有算术错误或其他错误的，评审小组按以下原则要求供应商对响应报价进行修正，并要求供应商书面澄清确认。供应商拒不澄清确认的，其响应文件将被视为无效：</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（1）大写金额与小写金额不一致的，以大写金额为准；</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（2）总价金额与单价金额不一致的，以单价金额为准，但单价金额小数点有明显错误的除外；</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（3）报价表中合计报价与分项报价的合价不一致的，以各分项报价的合价累计数为准；</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（4）如果分项报价中存在缺漏项，且缺漏项内容不属于实质性偏差的，则视为缺漏项内容的价格已包含在其他分项报价之中。</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2.2.3 供应商有串通、弄虚作假、行贿等违法行为的，其响应文件将被视为无效。</w:t>
      </w:r>
    </w:p>
    <w:p>
      <w:pPr>
        <w:pStyle w:val="85"/>
        <w:tabs>
          <w:tab w:val="left" w:pos="354"/>
        </w:tabs>
        <w:adjustRightInd w:val="0"/>
        <w:spacing w:line="560" w:lineRule="exact"/>
        <w:ind w:firstLine="643" w:firstLineChars="200"/>
        <w:jc w:val="left"/>
        <w:rPr>
          <w:rFonts w:ascii="Times New Roman" w:hAnsi="Times New Roman" w:eastAsia="仿宋_GB2312" w:cs="Times New Roman"/>
          <w:b/>
          <w:bCs/>
          <w:sz w:val="32"/>
          <w:szCs w:val="32"/>
          <w:lang w:val="en-US" w:eastAsia="zh-CN" w:bidi="en-US"/>
        </w:rPr>
      </w:pPr>
      <w:bookmarkStart w:id="68" w:name="_Toc16955"/>
      <w:bookmarkStart w:id="69" w:name="_Toc7056"/>
      <w:bookmarkStart w:id="70" w:name="_Toc11744"/>
      <w:r>
        <w:rPr>
          <w:rFonts w:hint="eastAsia" w:ascii="Times New Roman" w:hAnsi="Times New Roman" w:eastAsia="仿宋_GB2312" w:cs="Times New Roman"/>
          <w:b/>
          <w:bCs/>
          <w:sz w:val="32"/>
          <w:szCs w:val="32"/>
          <w:lang w:val="en-US" w:eastAsia="zh-CN" w:bidi="en-US"/>
        </w:rPr>
        <w:t>3.详细评审标准和程序</w:t>
      </w:r>
      <w:bookmarkEnd w:id="64"/>
      <w:bookmarkEnd w:id="65"/>
      <w:bookmarkEnd w:id="66"/>
      <w:bookmarkEnd w:id="67"/>
      <w:bookmarkEnd w:id="68"/>
      <w:bookmarkEnd w:id="69"/>
      <w:bookmarkEnd w:id="70"/>
      <w:bookmarkStart w:id="71" w:name="bookmark523"/>
      <w:bookmarkEnd w:id="71"/>
      <w:bookmarkStart w:id="72" w:name="bookmark522"/>
      <w:bookmarkEnd w:id="72"/>
      <w:bookmarkStart w:id="73" w:name="bookmark524"/>
      <w:bookmarkEnd w:id="73"/>
      <w:bookmarkStart w:id="74" w:name="bookmark520"/>
      <w:bookmarkEnd w:id="74"/>
      <w:bookmarkStart w:id="75" w:name="bookmark525"/>
      <w:bookmarkEnd w:id="75"/>
      <w:bookmarkStart w:id="76" w:name="bookmark521"/>
      <w:bookmarkEnd w:id="76"/>
      <w:bookmarkStart w:id="77" w:name="bookmark519"/>
      <w:bookmarkEnd w:id="77"/>
      <w:bookmarkStart w:id="78" w:name="_Toc11990"/>
      <w:bookmarkStart w:id="79" w:name="_Toc20865"/>
      <w:bookmarkStart w:id="80" w:name="_Toc12132"/>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3.1 分值构成</w:t>
      </w:r>
      <w:bookmarkEnd w:id="78"/>
      <w:bookmarkEnd w:id="79"/>
      <w:bookmarkEnd w:id="80"/>
      <w:bookmarkStart w:id="81" w:name="bookmark526"/>
      <w:bookmarkEnd w:id="81"/>
      <w:bookmarkStart w:id="82" w:name="bookmark527"/>
      <w:bookmarkEnd w:id="82"/>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（1）商务部分：见评审办法前附表；</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（2）技术部分：见评审办法前附表；</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（3）报价部分：见评审办法前附表。</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83" w:name="bookmark531"/>
      <w:bookmarkEnd w:id="83"/>
      <w:bookmarkStart w:id="84" w:name="bookmark530"/>
      <w:bookmarkEnd w:id="84"/>
      <w:bookmarkStart w:id="85" w:name="bookmark529"/>
      <w:bookmarkEnd w:id="85"/>
      <w:bookmarkStart w:id="86" w:name="_Toc8267"/>
      <w:bookmarkStart w:id="87" w:name="_Toc1695"/>
      <w:bookmarkStart w:id="88" w:name="_Toc16307"/>
      <w:r>
        <w:rPr>
          <w:rFonts w:hint="eastAsia" w:ascii="Times New Roman" w:hAnsi="Times New Roman" w:eastAsia="仿宋_GB2312" w:cs="Times New Roman"/>
          <w:sz w:val="32"/>
          <w:szCs w:val="32"/>
          <w:lang w:val="en-US" w:eastAsia="zh-CN" w:bidi="en-US"/>
        </w:rPr>
        <w:t>3.2 评分标准</w:t>
      </w:r>
      <w:bookmarkEnd w:id="86"/>
      <w:bookmarkEnd w:id="87"/>
      <w:bookmarkEnd w:id="88"/>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89" w:name="bookmark533"/>
      <w:bookmarkEnd w:id="89"/>
      <w:bookmarkStart w:id="90" w:name="bookmark537"/>
      <w:bookmarkEnd w:id="90"/>
      <w:bookmarkStart w:id="91" w:name="bookmark535"/>
      <w:bookmarkEnd w:id="91"/>
      <w:bookmarkStart w:id="92" w:name="bookmark532"/>
      <w:bookmarkEnd w:id="92"/>
      <w:bookmarkStart w:id="93" w:name="bookmark536"/>
      <w:bookmarkEnd w:id="93"/>
      <w:bookmarkStart w:id="94" w:name="bookmark534"/>
      <w:bookmarkEnd w:id="94"/>
      <w:r>
        <w:rPr>
          <w:rFonts w:hint="eastAsia" w:ascii="Times New Roman" w:hAnsi="Times New Roman" w:eastAsia="仿宋_GB2312" w:cs="Times New Roman"/>
          <w:sz w:val="32"/>
          <w:szCs w:val="32"/>
          <w:lang w:val="en-US" w:eastAsia="zh-CN" w:bidi="en-US"/>
        </w:rPr>
        <w:t>（1）商务部分：详见附件一：商务评审；</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（2）技术部分：详见附件二：技术评审；</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（3）报价部分：详见附件三：报价评审。</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95" w:name="_Toc15223"/>
      <w:bookmarkStart w:id="96" w:name="_Toc20542"/>
      <w:bookmarkStart w:id="97" w:name="_Toc2016"/>
      <w:r>
        <w:rPr>
          <w:rFonts w:hint="eastAsia" w:ascii="Times New Roman" w:hAnsi="Times New Roman" w:eastAsia="仿宋_GB2312" w:cs="Times New Roman"/>
          <w:sz w:val="32"/>
          <w:szCs w:val="32"/>
          <w:lang w:val="en-US" w:eastAsia="zh-CN" w:bidi="en-US"/>
        </w:rPr>
        <w:t>3.3评分</w:t>
      </w:r>
      <w:bookmarkEnd w:id="95"/>
      <w:bookmarkEnd w:id="96"/>
      <w:bookmarkEnd w:id="97"/>
      <w:r>
        <w:rPr>
          <w:rFonts w:hint="eastAsia" w:ascii="Times New Roman" w:hAnsi="Times New Roman" w:eastAsia="仿宋_GB2312" w:cs="Times New Roman"/>
          <w:sz w:val="32"/>
          <w:szCs w:val="32"/>
          <w:lang w:val="en-US" w:eastAsia="zh-CN" w:bidi="en-US"/>
        </w:rPr>
        <w:t xml:space="preserve"> </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评审小组成员按照评分标准对供应商的商务、技术和报价进行评分。各项得分汇总后为该成员给供应商的评分总分。评分分值计算保留小数点后两位，小数点后第三位“四舍五入”。</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98" w:name="_Toc11173"/>
      <w:bookmarkStart w:id="99" w:name="_Toc17351"/>
      <w:bookmarkStart w:id="100" w:name="_Toc14323"/>
      <w:r>
        <w:rPr>
          <w:rFonts w:hint="eastAsia" w:ascii="Times New Roman" w:hAnsi="Times New Roman" w:eastAsia="仿宋_GB2312" w:cs="Times New Roman"/>
          <w:sz w:val="32"/>
          <w:szCs w:val="32"/>
          <w:lang w:val="en-US" w:eastAsia="zh-CN" w:bidi="en-US"/>
        </w:rPr>
        <w:t>3.4 汇总</w:t>
      </w:r>
      <w:bookmarkEnd w:id="98"/>
      <w:bookmarkEnd w:id="99"/>
      <w:bookmarkEnd w:id="100"/>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评审小组汇总每个成员对供应商的评分总分，每个供应商的评分总分的算术平均值为供应商最终得分。</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101" w:name="_Toc29233"/>
      <w:bookmarkStart w:id="102" w:name="_Toc3067"/>
      <w:bookmarkStart w:id="103" w:name="_Toc12042"/>
      <w:r>
        <w:rPr>
          <w:rFonts w:hint="eastAsia" w:ascii="Times New Roman" w:hAnsi="Times New Roman" w:eastAsia="仿宋_GB2312" w:cs="Times New Roman"/>
          <w:sz w:val="32"/>
          <w:szCs w:val="32"/>
          <w:lang w:val="en-US" w:eastAsia="zh-CN" w:bidi="en-US"/>
        </w:rPr>
        <w:t>3.5 排序</w:t>
      </w:r>
      <w:bookmarkEnd w:id="101"/>
      <w:bookmarkEnd w:id="102"/>
      <w:bookmarkEnd w:id="103"/>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评审小组对供应商最终得分进行比较后，按照供应商最终得分由高到低的顺序对供应商排序。最终得分相等时，以评审价格低的优先；评审价格也相等的，以技术得分高的优先；如果技术得分也相等，按照评审办法前附表的规定确定供应商优先顺序。</w:t>
      </w:r>
    </w:p>
    <w:p>
      <w:pPr>
        <w:pStyle w:val="85"/>
        <w:tabs>
          <w:tab w:val="left" w:pos="354"/>
        </w:tabs>
        <w:adjustRightInd w:val="0"/>
        <w:spacing w:line="560" w:lineRule="exact"/>
        <w:ind w:firstLine="643" w:firstLineChars="200"/>
        <w:jc w:val="left"/>
        <w:rPr>
          <w:rFonts w:ascii="Times New Roman" w:hAnsi="Times New Roman" w:eastAsia="仿宋_GB2312" w:cs="Times New Roman"/>
          <w:b/>
          <w:bCs/>
          <w:sz w:val="32"/>
          <w:szCs w:val="32"/>
          <w:lang w:val="en-US" w:eastAsia="zh-CN" w:bidi="en-US"/>
        </w:rPr>
      </w:pPr>
      <w:bookmarkStart w:id="104" w:name="_Toc10052"/>
      <w:bookmarkStart w:id="105" w:name="_Toc28157"/>
      <w:bookmarkStart w:id="106" w:name="_Toc26159"/>
      <w:bookmarkStart w:id="107" w:name="_Toc20198"/>
      <w:r>
        <w:rPr>
          <w:rFonts w:hint="eastAsia" w:ascii="Times New Roman" w:hAnsi="Times New Roman" w:eastAsia="仿宋_GB2312" w:cs="Times New Roman"/>
          <w:b/>
          <w:bCs/>
          <w:sz w:val="32"/>
          <w:szCs w:val="32"/>
          <w:lang w:val="en-US" w:eastAsia="zh-CN" w:bidi="en-US"/>
        </w:rPr>
        <w:t>4.评审结果</w:t>
      </w:r>
      <w:bookmarkEnd w:id="104"/>
      <w:bookmarkEnd w:id="105"/>
      <w:bookmarkEnd w:id="106"/>
      <w:bookmarkEnd w:id="107"/>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108" w:name="_Toc21275"/>
      <w:bookmarkStart w:id="109" w:name="_Toc30701"/>
      <w:bookmarkStart w:id="110" w:name="_Toc19808"/>
      <w:bookmarkStart w:id="111" w:name="_Toc14017"/>
      <w:r>
        <w:rPr>
          <w:rFonts w:hint="eastAsia" w:ascii="Times New Roman" w:hAnsi="Times New Roman" w:eastAsia="仿宋_GB2312" w:cs="Times New Roman"/>
          <w:sz w:val="32"/>
          <w:szCs w:val="32"/>
          <w:lang w:val="en-US" w:eastAsia="zh-CN" w:bidi="en-US"/>
        </w:rPr>
        <w:t>4.1 提交书面评审报告</w:t>
      </w:r>
      <w:bookmarkEnd w:id="108"/>
      <w:bookmarkEnd w:id="109"/>
      <w:bookmarkEnd w:id="110"/>
      <w:bookmarkEnd w:id="111"/>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评审小组完成评审后，应当向采购人递交书面评审报告。</w:t>
      </w:r>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bookmarkStart w:id="112" w:name="_Toc19223"/>
      <w:bookmarkStart w:id="113" w:name="_Toc24374"/>
      <w:bookmarkStart w:id="114" w:name="_Toc9165"/>
      <w:bookmarkStart w:id="115" w:name="_Toc22950"/>
      <w:r>
        <w:rPr>
          <w:rFonts w:hint="eastAsia" w:ascii="Times New Roman" w:hAnsi="Times New Roman" w:eastAsia="仿宋_GB2312" w:cs="Times New Roman"/>
          <w:sz w:val="32"/>
          <w:szCs w:val="32"/>
          <w:lang w:val="en-US" w:eastAsia="zh-CN" w:bidi="en-US"/>
        </w:rPr>
        <w:t>4.2 推荐候选成交供应商排序要求及数量</w:t>
      </w:r>
      <w:bookmarkEnd w:id="112"/>
      <w:bookmarkEnd w:id="113"/>
      <w:bookmarkEnd w:id="114"/>
      <w:bookmarkEnd w:id="115"/>
    </w:p>
    <w:p>
      <w:pPr>
        <w:pStyle w:val="85"/>
        <w:tabs>
          <w:tab w:val="left" w:pos="354"/>
        </w:tabs>
        <w:adjustRightInd w:val="0"/>
        <w:spacing w:line="560" w:lineRule="exact"/>
        <w:ind w:firstLine="640" w:firstLineChars="200"/>
        <w:jc w:val="left"/>
        <w:rPr>
          <w:rFonts w:ascii="Times New Roman" w:hAnsi="Times New Roman" w:eastAsia="仿宋_GB2312" w:cs="Times New Roman"/>
          <w:sz w:val="32"/>
          <w:szCs w:val="32"/>
          <w:lang w:val="en-US" w:eastAsia="zh-CN" w:bidi="en-US"/>
        </w:rPr>
      </w:pPr>
      <w:r>
        <w:rPr>
          <w:rFonts w:hint="eastAsia" w:ascii="Times New Roman" w:hAnsi="Times New Roman" w:eastAsia="仿宋_GB2312" w:cs="Times New Roman"/>
          <w:sz w:val="32"/>
          <w:szCs w:val="32"/>
          <w:lang w:val="en-US" w:eastAsia="zh-CN" w:bidi="en-US"/>
        </w:rPr>
        <w:t>评审小组应在书面评审报告中按照供应商排列的优先顺序向采购人推荐候选成交供应商。候选成交供应商的排序要求及数量见第二章“供应商须知”。</w:t>
      </w:r>
    </w:p>
    <w:p>
      <w:pPr>
        <w:widowControl/>
        <w:spacing w:line="560" w:lineRule="exact"/>
        <w:jc w:val="left"/>
        <w:rPr>
          <w:rFonts w:hint="eastAsia" w:ascii="方正小标宋简体" w:hAnsi="黑体" w:eastAsia="方正小标宋简体" w:cs="宋体"/>
          <w:sz w:val="44"/>
          <w:szCs w:val="44"/>
        </w:rPr>
      </w:pPr>
      <w:r>
        <w:rPr>
          <w:rFonts w:hint="eastAsia" w:ascii="宋体" w:hAnsi="宋体" w:cs="宋体"/>
          <w:szCs w:val="21"/>
        </w:rPr>
        <w:br w:type="page"/>
      </w:r>
      <w:bookmarkStart w:id="116" w:name="_Toc19905"/>
      <w:bookmarkStart w:id="117" w:name="_Toc6797"/>
      <w:bookmarkStart w:id="118" w:name="_Toc2940"/>
      <w:bookmarkStart w:id="119" w:name="_Toc162967109"/>
      <w:r>
        <w:rPr>
          <w:rFonts w:hint="eastAsia" w:ascii="黑体" w:hAnsi="黑体" w:eastAsia="黑体" w:cs="宋体"/>
          <w:sz w:val="32"/>
          <w:szCs w:val="32"/>
        </w:rPr>
        <w:t>附件1</w:t>
      </w:r>
      <w:r>
        <w:rPr>
          <w:rFonts w:ascii="黑体" w:hAnsi="黑体" w:eastAsia="黑体" w:cs="宋体"/>
          <w:sz w:val="32"/>
          <w:szCs w:val="32"/>
        </w:rPr>
        <w:t xml:space="preserve"> </w:t>
      </w:r>
    </w:p>
    <w:p>
      <w:pPr>
        <w:widowControl/>
        <w:spacing w:line="560" w:lineRule="exact"/>
        <w:jc w:val="center"/>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商务评分表</w:t>
      </w:r>
      <w:bookmarkEnd w:id="116"/>
      <w:bookmarkEnd w:id="117"/>
      <w:bookmarkEnd w:id="118"/>
      <w:bookmarkEnd w:id="11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309"/>
        <w:gridCol w:w="1417"/>
        <w:gridCol w:w="59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05" w:hRule="atLeast"/>
          <w:tblHeader/>
          <w:jc w:val="center"/>
        </w:trPr>
        <w:tc>
          <w:tcPr>
            <w:tcW w:w="784" w:type="dxa"/>
            <w:tcBorders>
              <w:bottom w:val="single" w:color="auto" w:sz="6" w:space="0"/>
            </w:tcBorders>
            <w:vAlign w:val="center"/>
          </w:tcPr>
          <w:p>
            <w:pPr>
              <w:pStyle w:val="74"/>
              <w:tabs>
                <w:tab w:val="left" w:pos="1050"/>
              </w:tabs>
              <w:ind w:left="12" w:hanging="12" w:hangingChars="5"/>
              <w:jc w:val="center"/>
              <w:rPr>
                <w:rFonts w:ascii="Times New Roman" w:eastAsia="楷体_GB2312"/>
                <w:b/>
                <w:bCs/>
                <w:sz w:val="24"/>
                <w:szCs w:val="24"/>
              </w:rPr>
            </w:pPr>
            <w:bookmarkStart w:id="120" w:name="_Hlk200638404"/>
            <w:r>
              <w:rPr>
                <w:rFonts w:ascii="Times New Roman" w:eastAsia="楷体_GB2312"/>
                <w:b/>
                <w:bCs/>
                <w:sz w:val="24"/>
                <w:szCs w:val="24"/>
              </w:rPr>
              <w:t>序号</w:t>
            </w:r>
          </w:p>
        </w:tc>
        <w:tc>
          <w:tcPr>
            <w:tcW w:w="1309" w:type="dxa"/>
            <w:tcBorders>
              <w:bottom w:val="single" w:color="auto" w:sz="6" w:space="0"/>
            </w:tcBorders>
            <w:vAlign w:val="center"/>
          </w:tcPr>
          <w:p>
            <w:pPr>
              <w:pStyle w:val="74"/>
              <w:tabs>
                <w:tab w:val="left" w:pos="1050"/>
              </w:tabs>
              <w:ind w:left="12" w:hanging="12" w:hangingChars="5"/>
              <w:rPr>
                <w:rFonts w:ascii="Times New Roman" w:eastAsia="楷体_GB2312"/>
                <w:b/>
                <w:bCs/>
                <w:sz w:val="24"/>
                <w:szCs w:val="24"/>
              </w:rPr>
            </w:pPr>
            <w:r>
              <w:rPr>
                <w:rFonts w:ascii="Times New Roman" w:eastAsia="楷体_GB2312"/>
                <w:b/>
                <w:bCs/>
                <w:sz w:val="24"/>
                <w:szCs w:val="24"/>
              </w:rPr>
              <w:t>评分项目</w:t>
            </w:r>
          </w:p>
        </w:tc>
        <w:tc>
          <w:tcPr>
            <w:tcW w:w="1417" w:type="dxa"/>
            <w:tcBorders>
              <w:bottom w:val="single" w:color="auto" w:sz="6" w:space="0"/>
            </w:tcBorders>
            <w:vAlign w:val="center"/>
          </w:tcPr>
          <w:p>
            <w:pPr>
              <w:pStyle w:val="74"/>
              <w:tabs>
                <w:tab w:val="left" w:pos="1050"/>
              </w:tabs>
              <w:ind w:left="12" w:hanging="12" w:hangingChars="5"/>
              <w:jc w:val="center"/>
              <w:rPr>
                <w:rFonts w:ascii="Times New Roman" w:eastAsia="楷体_GB2312"/>
                <w:b/>
                <w:bCs/>
                <w:sz w:val="24"/>
                <w:szCs w:val="24"/>
              </w:rPr>
            </w:pPr>
            <w:r>
              <w:rPr>
                <w:rFonts w:ascii="Times New Roman" w:eastAsia="楷体_GB2312"/>
                <w:b/>
                <w:bCs/>
                <w:sz w:val="24"/>
                <w:szCs w:val="24"/>
              </w:rPr>
              <w:t>标准分数</w:t>
            </w:r>
          </w:p>
        </w:tc>
        <w:tc>
          <w:tcPr>
            <w:tcW w:w="5954" w:type="dxa"/>
            <w:tcBorders>
              <w:bottom w:val="single" w:color="auto" w:sz="6" w:space="0"/>
            </w:tcBorders>
            <w:vAlign w:val="center"/>
          </w:tcPr>
          <w:p>
            <w:pPr>
              <w:pStyle w:val="74"/>
              <w:tabs>
                <w:tab w:val="left" w:pos="1050"/>
              </w:tabs>
              <w:ind w:left="12" w:hanging="12" w:hangingChars="5"/>
              <w:jc w:val="center"/>
              <w:rPr>
                <w:rFonts w:ascii="Times New Roman" w:eastAsia="楷体_GB2312"/>
                <w:b/>
                <w:bCs/>
                <w:sz w:val="24"/>
                <w:szCs w:val="24"/>
              </w:rPr>
            </w:pPr>
            <w:r>
              <w:rPr>
                <w:rFonts w:ascii="Times New Roman" w:eastAsia="楷体_GB2312"/>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jc w:val="center"/>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企业综合实力</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25</w:t>
            </w:r>
          </w:p>
        </w:tc>
        <w:tc>
          <w:tcPr>
            <w:tcW w:w="5954"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根据供应商的经营年限、财务状况、企业信誉等综合实力进行评价。强得（15-25</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较强得（10-15</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一般得</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5-10</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jc w:val="center"/>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2</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财务审计报告</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10</w:t>
            </w:r>
          </w:p>
        </w:tc>
        <w:tc>
          <w:tcPr>
            <w:tcW w:w="5954"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按采购文件要求，提供字迹清晰完整且无保留意见，由两名具备相关业务资格的注册会计师签名盖章并经会计师事务所盖章的得10分；</w:t>
            </w:r>
            <w:r>
              <w:rPr>
                <w:rFonts w:ascii="Times New Roman" w:hAnsi="Times New Roman" w:eastAsia="楷体_GB2312" w:cs="Times New Roman"/>
                <w:b/>
                <w:bCs/>
                <w:kern w:val="2"/>
              </w:rPr>
              <w:t>其他情况不得分，不提交不得分。</w:t>
            </w:r>
          </w:p>
          <w:p>
            <w:pPr>
              <w:pStyle w:val="25"/>
              <w:widowControl w:val="0"/>
              <w:spacing w:before="0" w:beforeAutospacing="0" w:after="0" w:afterAutospacing="0" w:line="320" w:lineRule="exact"/>
              <w:ind w:firstLine="480" w:firstLineChars="200"/>
              <w:outlineLvl w:val="0"/>
              <w:rPr>
                <w:rFonts w:ascii="Times New Roman" w:hAnsi="Times New Roman" w:eastAsia="楷体_GB2312" w:cs="Times New Roman"/>
                <w:kern w:val="2"/>
              </w:rPr>
            </w:pPr>
            <w:r>
              <w:rPr>
                <w:rFonts w:ascii="Times New Roman" w:hAnsi="Times New Roman" w:eastAsia="楷体_GB2312" w:cs="Times New Roman"/>
                <w:kern w:val="2"/>
              </w:rPr>
              <w:t>注：近三年是指响应截止日之前完整三个年度，若响应截止日为本年度6月30日以前的，可不提供上一年度，但需提供上一年度之前的三个年度；若供应商成立时间不满三年的，提供时间为自供应商成立之日至响应截止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jc w:val="center"/>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3</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响应文件规范与完整度评价</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10</w:t>
            </w:r>
          </w:p>
        </w:tc>
        <w:tc>
          <w:tcPr>
            <w:tcW w:w="5954"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根据供应商响应文件完整度、规范化等综合情况打分，优秀得（7-10</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良得（5-7</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r>
              <w:rPr>
                <w:rFonts w:hint="eastAsia" w:ascii="Times New Roman" w:hAnsi="Times New Roman" w:eastAsia="楷体_GB2312" w:cs="Times New Roman"/>
                <w:kern w:val="2"/>
              </w:rPr>
              <w:t>，</w:t>
            </w:r>
            <w:r>
              <w:rPr>
                <w:rFonts w:ascii="Times New Roman" w:hAnsi="Times New Roman" w:eastAsia="楷体_GB2312" w:cs="Times New Roman"/>
                <w:kern w:val="2"/>
              </w:rPr>
              <w:t>一般得</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3-5</w:t>
            </w:r>
            <w:r>
              <w:rPr>
                <w:rFonts w:hint="eastAsia" w:asciiTheme="minorEastAsia" w:hAnsiTheme="minorEastAsia" w:eastAsiaTheme="minorEastAsia" w:cstheme="minorEastAsia"/>
                <w:kern w:val="2"/>
                <w:sz w:val="21"/>
                <w:szCs w:val="21"/>
              </w:rPr>
              <w:t>】</w:t>
            </w:r>
            <w:r>
              <w:rPr>
                <w:rFonts w:ascii="Times New Roman" w:hAnsi="Times New Roman" w:eastAsia="楷体_GB2312" w:cs="Times New Roman"/>
                <w:kern w:val="2"/>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145" w:hRule="atLeast"/>
          <w:jc w:val="center"/>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4</w:t>
            </w:r>
          </w:p>
        </w:tc>
        <w:tc>
          <w:tcPr>
            <w:tcW w:w="1309"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体系管理文件</w:t>
            </w:r>
          </w:p>
        </w:tc>
        <w:tc>
          <w:tcPr>
            <w:tcW w:w="1417"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15</w:t>
            </w:r>
          </w:p>
        </w:tc>
        <w:tc>
          <w:tcPr>
            <w:tcW w:w="5954" w:type="dxa"/>
            <w:tcBorders>
              <w:top w:val="single" w:color="auto" w:sz="6" w:space="0"/>
            </w:tcBorders>
            <w:vAlign w:val="center"/>
          </w:tcPr>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lang w:eastAsia="zh-Hans"/>
              </w:rPr>
              <w:t>供应商的</w:t>
            </w:r>
            <w:r>
              <w:rPr>
                <w:rFonts w:ascii="Times New Roman" w:hAnsi="Times New Roman" w:eastAsia="楷体_GB2312" w:cs="Times New Roman"/>
                <w:kern w:val="2"/>
              </w:rPr>
              <w:t>有效的质量管理体系认证证书、环境管理体系认证证书、职业健康安全管理体系认证证书，每具备一项得5分，最高得15分。</w:t>
            </w:r>
          </w:p>
          <w:p>
            <w:pPr>
              <w:pStyle w:val="25"/>
              <w:widowControl w:val="0"/>
              <w:spacing w:before="0" w:beforeAutospacing="0" w:after="0" w:afterAutospacing="0" w:line="320" w:lineRule="exact"/>
              <w:outlineLvl w:val="0"/>
              <w:rPr>
                <w:rFonts w:ascii="Times New Roman" w:hAnsi="Times New Roman" w:eastAsia="楷体_GB2312" w:cs="Times New Roman"/>
                <w:kern w:val="2"/>
              </w:rPr>
            </w:pPr>
            <w:r>
              <w:rPr>
                <w:rFonts w:ascii="Times New Roman" w:hAnsi="Times New Roman" w:eastAsia="楷体_GB2312" w:cs="Times New Roman"/>
                <w:kern w:val="2"/>
              </w:rPr>
              <w:t>注：提供有效证书扫描件且证书在有效期内，同时提供相关证书在全国认证认可信息公共服务平台官网（http://cx.cnca.cn/）的认证信息截图。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876" w:hRule="atLeast"/>
          <w:jc w:val="center"/>
        </w:trPr>
        <w:tc>
          <w:tcPr>
            <w:tcW w:w="784" w:type="dxa"/>
            <w:tcBorders>
              <w:top w:val="single" w:color="auto" w:sz="6" w:space="0"/>
            </w:tcBorders>
            <w:vAlign w:val="center"/>
          </w:tcPr>
          <w:p>
            <w:pPr>
              <w:pStyle w:val="74"/>
              <w:tabs>
                <w:tab w:val="left" w:pos="1050"/>
              </w:tabs>
              <w:spacing w:line="320" w:lineRule="exact"/>
              <w:ind w:left="12" w:hanging="12" w:hangingChars="5"/>
              <w:jc w:val="center"/>
              <w:rPr>
                <w:rFonts w:ascii="Times New Roman" w:eastAsia="楷体_GB2312"/>
                <w:sz w:val="24"/>
                <w:szCs w:val="24"/>
              </w:rPr>
            </w:pPr>
            <w:r>
              <w:rPr>
                <w:rFonts w:ascii="Times New Roman" w:eastAsia="楷体_GB2312"/>
                <w:sz w:val="24"/>
                <w:szCs w:val="24"/>
              </w:rPr>
              <w:t>5</w:t>
            </w:r>
          </w:p>
        </w:tc>
        <w:tc>
          <w:tcPr>
            <w:tcW w:w="1309" w:type="dxa"/>
            <w:tcBorders>
              <w:top w:val="single" w:color="auto" w:sz="6" w:space="0"/>
            </w:tcBorders>
            <w:vAlign w:val="center"/>
          </w:tcPr>
          <w:p>
            <w:pPr>
              <w:spacing w:line="320" w:lineRule="exact"/>
              <w:jc w:val="center"/>
              <w:rPr>
                <w:rFonts w:eastAsia="楷体_GB2312"/>
                <w:sz w:val="24"/>
                <w:lang w:eastAsia="zh-Hans"/>
              </w:rPr>
            </w:pPr>
            <w:r>
              <w:rPr>
                <w:rFonts w:eastAsia="楷体_GB2312"/>
                <w:bCs/>
                <w:sz w:val="24"/>
              </w:rPr>
              <w:t>《信用中国》查询情况</w:t>
            </w:r>
          </w:p>
        </w:tc>
        <w:tc>
          <w:tcPr>
            <w:tcW w:w="1417" w:type="dxa"/>
            <w:tcBorders>
              <w:top w:val="single" w:color="auto" w:sz="6" w:space="0"/>
            </w:tcBorders>
            <w:vAlign w:val="center"/>
          </w:tcPr>
          <w:p>
            <w:pPr>
              <w:spacing w:line="320" w:lineRule="exact"/>
              <w:jc w:val="center"/>
              <w:rPr>
                <w:rFonts w:eastAsia="楷体_GB2312"/>
                <w:sz w:val="24"/>
              </w:rPr>
            </w:pPr>
            <w:r>
              <w:rPr>
                <w:rFonts w:eastAsia="楷体_GB2312"/>
                <w:sz w:val="24"/>
              </w:rPr>
              <w:t>20</w:t>
            </w:r>
          </w:p>
        </w:tc>
        <w:tc>
          <w:tcPr>
            <w:tcW w:w="5954" w:type="dxa"/>
            <w:tcBorders>
              <w:top w:val="single" w:color="auto" w:sz="6" w:space="0"/>
            </w:tcBorders>
            <w:vAlign w:val="center"/>
          </w:tcPr>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在该网站未被列入失信被执行人名单基础上，按下列标准评分：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在该网站无处罚记录，得20分；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在该网站仅是一般处罚记录，且无罚款记录，得10分；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在该网站仅是一般处罚记录，且有罚款记录，罚款1000元（不含）以内得5分；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在该网站仅是一般处罚记录，且有罚款记录，罚款</w:t>
            </w:r>
            <w:r>
              <w:rPr>
                <w:rFonts w:hint="eastAsia" w:asciiTheme="minorEastAsia" w:hAnsiTheme="minorEastAsia" w:eastAsiaTheme="minorEastAsia" w:cstheme="minorEastAsia"/>
                <w:sz w:val="21"/>
                <w:szCs w:val="21"/>
              </w:rPr>
              <w:t>【</w:t>
            </w:r>
            <w:r>
              <w:rPr>
                <w:rFonts w:ascii="Times New Roman" w:eastAsia="楷体_GB2312"/>
                <w:sz w:val="24"/>
                <w:szCs w:val="24"/>
              </w:rPr>
              <w:t>1000-10000）元以内得2分；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在该网站仅是一般处罚记录，且有罚款记录，罚款【10000</w:t>
            </w:r>
            <w:r>
              <w:rPr>
                <w:rFonts w:hint="eastAsia" w:ascii="Times New Roman" w:eastAsia="楷体_GB2312"/>
                <w:sz w:val="24"/>
                <w:szCs w:val="24"/>
              </w:rPr>
              <w:t>-</w:t>
            </w:r>
            <w:r>
              <w:rPr>
                <w:rFonts w:ascii="Times New Roman" w:eastAsia="楷体_GB2312"/>
                <w:sz w:val="24"/>
                <w:szCs w:val="24"/>
              </w:rPr>
              <w:t>100000】元得1分：</w:t>
            </w:r>
          </w:p>
          <w:p>
            <w:pPr>
              <w:pStyle w:val="74"/>
              <w:tabs>
                <w:tab w:val="left" w:pos="1050"/>
              </w:tabs>
              <w:spacing w:line="320" w:lineRule="exact"/>
              <w:ind w:firstLine="0"/>
              <w:rPr>
                <w:rFonts w:ascii="Times New Roman" w:eastAsia="楷体_GB2312"/>
                <w:sz w:val="24"/>
                <w:szCs w:val="24"/>
              </w:rPr>
            </w:pPr>
            <w:r>
              <w:rPr>
                <w:rFonts w:ascii="Times New Roman" w:eastAsia="楷体_GB2312"/>
                <w:sz w:val="24"/>
                <w:szCs w:val="24"/>
              </w:rPr>
              <w:t>罚款超过10万元得0分。</w:t>
            </w:r>
          </w:p>
        </w:tc>
      </w:tr>
      <w:bookmarkEnd w:id="120"/>
    </w:tbl>
    <w:p>
      <w:pPr>
        <w:spacing w:line="360" w:lineRule="auto"/>
        <w:rPr>
          <w:rFonts w:eastAsia="楷体_GB2312"/>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087"/>
        <w:gridCol w:w="1134"/>
        <w:gridCol w:w="64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46" w:hRule="atLeast"/>
          <w:jc w:val="center"/>
        </w:trPr>
        <w:tc>
          <w:tcPr>
            <w:tcW w:w="784" w:type="dxa"/>
            <w:tcBorders>
              <w:top w:val="single" w:color="auto" w:sz="6" w:space="0"/>
            </w:tcBorders>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bookmarkStart w:id="121" w:name="_Hlk200638446"/>
            <w:r>
              <w:rPr>
                <w:rFonts w:ascii="Times New Roman" w:eastAsia="楷体_GB2312"/>
                <w:sz w:val="24"/>
                <w:szCs w:val="24"/>
              </w:rPr>
              <w:t>6</w:t>
            </w:r>
          </w:p>
        </w:tc>
        <w:tc>
          <w:tcPr>
            <w:tcW w:w="1087" w:type="dxa"/>
            <w:tcBorders>
              <w:top w:val="single" w:color="auto" w:sz="6" w:space="0"/>
            </w:tcBorders>
            <w:vAlign w:val="center"/>
          </w:tcPr>
          <w:p>
            <w:pPr>
              <w:snapToGrid w:val="0"/>
              <w:spacing w:line="360" w:lineRule="auto"/>
              <w:jc w:val="center"/>
              <w:rPr>
                <w:rFonts w:eastAsia="楷体_GB2312"/>
                <w:color w:val="000000"/>
                <w:kern w:val="0"/>
                <w:sz w:val="24"/>
              </w:rPr>
            </w:pPr>
            <w:r>
              <w:rPr>
                <w:rFonts w:eastAsia="楷体_GB2312"/>
                <w:color w:val="000000"/>
                <w:kern w:val="0"/>
                <w:sz w:val="24"/>
              </w:rPr>
              <w:t>证书</w:t>
            </w:r>
          </w:p>
        </w:tc>
        <w:tc>
          <w:tcPr>
            <w:tcW w:w="1134" w:type="dxa"/>
            <w:tcBorders>
              <w:top w:val="single" w:color="auto" w:sz="6" w:space="0"/>
            </w:tcBorders>
            <w:vAlign w:val="center"/>
          </w:tcPr>
          <w:p>
            <w:pPr>
              <w:snapToGrid w:val="0"/>
              <w:spacing w:line="360" w:lineRule="auto"/>
              <w:jc w:val="center"/>
              <w:rPr>
                <w:rFonts w:eastAsia="楷体_GB2312"/>
                <w:sz w:val="24"/>
              </w:rPr>
            </w:pPr>
            <w:r>
              <w:rPr>
                <w:rFonts w:eastAsia="楷体_GB2312"/>
                <w:sz w:val="24"/>
              </w:rPr>
              <w:t>10</w:t>
            </w:r>
          </w:p>
        </w:tc>
        <w:tc>
          <w:tcPr>
            <w:tcW w:w="6459" w:type="dxa"/>
            <w:tcBorders>
              <w:top w:val="single" w:color="auto" w:sz="6" w:space="0"/>
            </w:tcBorders>
            <w:vAlign w:val="center"/>
          </w:tcPr>
          <w:p>
            <w:pPr>
              <w:widowControl/>
              <w:spacing w:line="360" w:lineRule="auto"/>
              <w:jc w:val="left"/>
              <w:rPr>
                <w:rFonts w:eastAsia="楷体_GB2312"/>
                <w:kern w:val="0"/>
                <w:sz w:val="24"/>
                <w:lang w:bidi="ar"/>
              </w:rPr>
            </w:pPr>
            <w:r>
              <w:rPr>
                <w:rFonts w:eastAsia="楷体_GB2312"/>
                <w:sz w:val="24"/>
              </w:rPr>
              <w:t>供应商具有高新技术企业证书得10分。</w:t>
            </w:r>
          </w:p>
          <w:p>
            <w:pPr>
              <w:spacing w:line="360" w:lineRule="auto"/>
              <w:jc w:val="left"/>
              <w:rPr>
                <w:rFonts w:eastAsia="楷体_GB2312"/>
                <w:sz w:val="24"/>
              </w:rPr>
            </w:pPr>
            <w:r>
              <w:rPr>
                <w:rFonts w:eastAsia="楷体_GB2312"/>
                <w:sz w:val="24"/>
                <w:lang w:bidi="ar"/>
              </w:rPr>
              <w:t>注</w:t>
            </w:r>
            <w:r>
              <w:rPr>
                <w:rFonts w:hint="eastAsia" w:eastAsia="楷体_GB2312"/>
                <w:sz w:val="24"/>
                <w:lang w:bidi="ar"/>
              </w:rPr>
              <w:t>：</w:t>
            </w:r>
            <w:r>
              <w:rPr>
                <w:rFonts w:eastAsia="楷体_GB2312"/>
                <w:sz w:val="24"/>
                <w:lang w:bidi="ar"/>
              </w:rPr>
              <w:t>需提供有效的证书扫描件</w:t>
            </w:r>
            <w:r>
              <w:rPr>
                <w:rFonts w:eastAsia="楷体_GB2312"/>
                <w:kern w:val="0"/>
                <w:sz w:val="24"/>
              </w:rPr>
              <w:t>，</w:t>
            </w:r>
            <w:r>
              <w:rPr>
                <w:rFonts w:eastAsia="楷体_GB2312"/>
                <w:spacing w:val="-1"/>
                <w:kern w:val="0"/>
                <w:sz w:val="24"/>
              </w:rPr>
              <w:t>否则不予以计分。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431" w:hRule="atLeast"/>
          <w:jc w:val="center"/>
        </w:trPr>
        <w:tc>
          <w:tcPr>
            <w:tcW w:w="784" w:type="dxa"/>
            <w:tcBorders>
              <w:top w:val="single" w:color="auto" w:sz="6" w:space="0"/>
            </w:tcBorders>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r>
              <w:rPr>
                <w:rFonts w:ascii="Times New Roman" w:eastAsia="楷体_GB2312"/>
                <w:sz w:val="24"/>
                <w:szCs w:val="24"/>
              </w:rPr>
              <w:t>7</w:t>
            </w:r>
          </w:p>
        </w:tc>
        <w:tc>
          <w:tcPr>
            <w:tcW w:w="1087" w:type="dxa"/>
            <w:tcBorders>
              <w:top w:val="single" w:color="auto" w:sz="6" w:space="0"/>
            </w:tcBorders>
            <w:vAlign w:val="center"/>
          </w:tcPr>
          <w:p>
            <w:pPr>
              <w:snapToGrid w:val="0"/>
              <w:spacing w:line="360" w:lineRule="auto"/>
              <w:jc w:val="center"/>
              <w:rPr>
                <w:rFonts w:eastAsia="楷体_GB2312"/>
                <w:color w:val="000000"/>
                <w:kern w:val="0"/>
                <w:sz w:val="24"/>
                <w:lang w:eastAsia="zh-Hans"/>
              </w:rPr>
            </w:pPr>
            <w:r>
              <w:rPr>
                <w:rFonts w:eastAsia="楷体_GB2312"/>
                <w:kern w:val="0"/>
                <w:sz w:val="24"/>
              </w:rPr>
              <w:t>纳税信用</w:t>
            </w:r>
          </w:p>
        </w:tc>
        <w:tc>
          <w:tcPr>
            <w:tcW w:w="1134" w:type="dxa"/>
            <w:tcBorders>
              <w:top w:val="single" w:color="auto" w:sz="6" w:space="0"/>
            </w:tcBorders>
            <w:vAlign w:val="center"/>
          </w:tcPr>
          <w:p>
            <w:pPr>
              <w:snapToGrid w:val="0"/>
              <w:spacing w:line="360" w:lineRule="auto"/>
              <w:jc w:val="center"/>
              <w:rPr>
                <w:rFonts w:eastAsia="楷体_GB2312"/>
                <w:sz w:val="24"/>
              </w:rPr>
            </w:pPr>
            <w:r>
              <w:rPr>
                <w:rFonts w:eastAsia="楷体_GB2312"/>
                <w:sz w:val="24"/>
              </w:rPr>
              <w:t>10</w:t>
            </w:r>
          </w:p>
        </w:tc>
        <w:tc>
          <w:tcPr>
            <w:tcW w:w="6459" w:type="dxa"/>
            <w:tcBorders>
              <w:top w:val="single" w:color="auto" w:sz="6" w:space="0"/>
            </w:tcBorders>
            <w:vAlign w:val="center"/>
          </w:tcPr>
          <w:p>
            <w:pPr>
              <w:spacing w:line="360" w:lineRule="auto"/>
              <w:jc w:val="left"/>
              <w:rPr>
                <w:rFonts w:eastAsia="楷体_GB2312"/>
                <w:color w:val="FF0000"/>
                <w:sz w:val="24"/>
              </w:rPr>
            </w:pPr>
            <w:r>
              <w:rPr>
                <w:rFonts w:eastAsia="楷体_GB2312"/>
                <w:kern w:val="0"/>
                <w:sz w:val="24"/>
              </w:rPr>
              <w:t>提供纳税信用证明材料：2020年</w:t>
            </w:r>
            <w:r>
              <w:rPr>
                <w:rFonts w:hint="eastAsia" w:eastAsia="楷体_GB2312"/>
                <w:kern w:val="0"/>
                <w:sz w:val="24"/>
              </w:rPr>
              <w:t>至</w:t>
            </w:r>
            <w:r>
              <w:rPr>
                <w:rFonts w:eastAsia="楷体_GB2312"/>
                <w:kern w:val="0"/>
                <w:sz w:val="24"/>
              </w:rPr>
              <w:t>2022年度或2021年</w:t>
            </w:r>
            <w:r>
              <w:rPr>
                <w:rFonts w:hint="eastAsia" w:eastAsia="楷体_GB2312"/>
                <w:kern w:val="0"/>
                <w:sz w:val="24"/>
              </w:rPr>
              <w:t>至</w:t>
            </w:r>
            <w:r>
              <w:rPr>
                <w:rFonts w:eastAsia="楷体_GB2312"/>
                <w:kern w:val="0"/>
                <w:sz w:val="24"/>
              </w:rPr>
              <w:t>2023年度获得3连A及以上的</w:t>
            </w:r>
            <w:r>
              <w:rPr>
                <w:rFonts w:hint="eastAsia" w:eastAsia="楷体_GB2312"/>
                <w:kern w:val="0"/>
                <w:sz w:val="24"/>
              </w:rPr>
              <w:t>，</w:t>
            </w:r>
            <w:r>
              <w:rPr>
                <w:rFonts w:eastAsia="楷体_GB2312"/>
                <w:kern w:val="0"/>
                <w:sz w:val="24"/>
              </w:rPr>
              <w:t>得10分；获得2连A的，得5分；其他不得分。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1" w:hRule="atLeast"/>
          <w:jc w:val="center"/>
        </w:trPr>
        <w:tc>
          <w:tcPr>
            <w:tcW w:w="1871" w:type="dxa"/>
            <w:gridSpan w:val="2"/>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r>
              <w:rPr>
                <w:rFonts w:ascii="Times New Roman" w:eastAsia="楷体_GB2312"/>
                <w:sz w:val="24"/>
                <w:szCs w:val="24"/>
              </w:rPr>
              <w:t>合计</w:t>
            </w:r>
          </w:p>
        </w:tc>
        <w:tc>
          <w:tcPr>
            <w:tcW w:w="1134" w:type="dxa"/>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r>
              <w:rPr>
                <w:rFonts w:ascii="Times New Roman" w:eastAsia="楷体_GB2312"/>
                <w:sz w:val="24"/>
                <w:szCs w:val="24"/>
              </w:rPr>
              <w:t>100</w:t>
            </w:r>
          </w:p>
        </w:tc>
        <w:tc>
          <w:tcPr>
            <w:tcW w:w="6459" w:type="dxa"/>
            <w:vAlign w:val="center"/>
          </w:tcPr>
          <w:p>
            <w:pPr>
              <w:pStyle w:val="74"/>
              <w:tabs>
                <w:tab w:val="left" w:pos="1050"/>
              </w:tabs>
              <w:snapToGrid w:val="0"/>
              <w:spacing w:line="360" w:lineRule="auto"/>
              <w:ind w:left="12" w:hanging="12" w:hangingChars="5"/>
              <w:jc w:val="center"/>
              <w:rPr>
                <w:rFonts w:ascii="Times New Roman" w:eastAsia="楷体_GB2312"/>
                <w:sz w:val="24"/>
                <w:szCs w:val="24"/>
              </w:rPr>
            </w:pPr>
          </w:p>
        </w:tc>
      </w:tr>
      <w:bookmarkEnd w:id="121"/>
    </w:tbl>
    <w:p>
      <w:pPr>
        <w:spacing w:line="360" w:lineRule="auto"/>
        <w:ind w:firstLine="240" w:firstLineChars="100"/>
        <w:rPr>
          <w:rFonts w:eastAsia="楷体_GB2312"/>
          <w:sz w:val="24"/>
        </w:rPr>
      </w:pPr>
      <w:r>
        <w:rPr>
          <w:rFonts w:eastAsia="楷体_GB2312"/>
          <w:sz w:val="24"/>
        </w:rPr>
        <w:t>备注：“（ ）”指不包含本数，“【】”指包含本数，如（15-25】得分范围16-25分。</w:t>
      </w:r>
    </w:p>
    <w:p>
      <w:pPr>
        <w:spacing w:line="360" w:lineRule="auto"/>
        <w:rPr>
          <w:szCs w:val="21"/>
        </w:rPr>
      </w:pPr>
    </w:p>
    <w:p>
      <w:pPr>
        <w:pStyle w:val="84"/>
        <w:rPr>
          <w:rFonts w:hint="eastAsia" w:hAnsi="宋体" w:cs="宋体"/>
          <w:szCs w:val="21"/>
        </w:rPr>
      </w:pPr>
    </w:p>
    <w:p>
      <w:bookmarkStart w:id="122" w:name="_Toc14818"/>
      <w:bookmarkStart w:id="123" w:name="_Toc18459"/>
      <w:r>
        <w:rPr>
          <w:rFonts w:hint="eastAsia"/>
        </w:rPr>
        <w:br w:type="page"/>
      </w:r>
    </w:p>
    <w:bookmarkEnd w:id="122"/>
    <w:bookmarkEnd w:id="123"/>
    <w:p>
      <w:pPr>
        <w:pStyle w:val="4"/>
        <w:widowControl/>
        <w:spacing w:line="360" w:lineRule="auto"/>
        <w:ind w:firstLine="0" w:firstLineChars="0"/>
        <w:jc w:val="left"/>
        <w:rPr>
          <w:rFonts w:hint="eastAsia" w:ascii="黑体" w:hAnsi="黑体" w:eastAsia="黑体"/>
          <w:b w:val="0"/>
          <w:bCs w:val="0"/>
        </w:rPr>
      </w:pPr>
      <w:bookmarkStart w:id="124" w:name="_Toc12779"/>
      <w:bookmarkStart w:id="125" w:name="_Toc162967110"/>
      <w:bookmarkStart w:id="126" w:name="_Toc8038"/>
      <w:bookmarkStart w:id="127" w:name="_Toc25872"/>
      <w:bookmarkStart w:id="128" w:name="_Toc162967112"/>
      <w:bookmarkStart w:id="129" w:name="_Toc10334"/>
      <w:r>
        <w:rPr>
          <w:rFonts w:hint="eastAsia" w:ascii="黑体" w:hAnsi="黑体" w:eastAsia="黑体"/>
          <w:b w:val="0"/>
          <w:bCs w:val="0"/>
        </w:rPr>
        <w:t xml:space="preserve">附件2 </w:t>
      </w:r>
    </w:p>
    <w:p>
      <w:pPr>
        <w:pStyle w:val="4"/>
        <w:widowControl/>
        <w:spacing w:line="360" w:lineRule="auto"/>
        <w:ind w:firstLine="0" w:firstLineChars="0"/>
        <w:jc w:val="center"/>
        <w:rPr>
          <w:rFonts w:hint="eastAsia" w:ascii="方正小标宋简体" w:hAnsi="黑体" w:eastAsia="方正小标宋简体"/>
          <w:b w:val="0"/>
          <w:bCs w:val="0"/>
          <w:sz w:val="44"/>
          <w:szCs w:val="44"/>
        </w:rPr>
      </w:pPr>
      <w:r>
        <w:rPr>
          <w:rFonts w:hint="eastAsia" w:ascii="方正小标宋简体" w:hAnsi="黑体" w:eastAsia="方正小标宋简体"/>
          <w:b w:val="0"/>
          <w:bCs w:val="0"/>
          <w:sz w:val="44"/>
          <w:szCs w:val="44"/>
        </w:rPr>
        <w:t>技术评分表</w:t>
      </w:r>
      <w:bookmarkEnd w:id="124"/>
      <w:bookmarkEnd w:id="12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1276"/>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818" w:type="dxa"/>
            <w:shd w:val="clear" w:color="000000" w:fill="auto"/>
            <w:vAlign w:val="center"/>
          </w:tcPr>
          <w:p>
            <w:pPr>
              <w:snapToGrid w:val="0"/>
              <w:spacing w:line="380" w:lineRule="exact"/>
              <w:jc w:val="center"/>
              <w:rPr>
                <w:rFonts w:eastAsia="楷体_GB2312"/>
                <w:b/>
                <w:sz w:val="24"/>
              </w:rPr>
            </w:pPr>
            <w:r>
              <w:rPr>
                <w:rFonts w:eastAsia="楷体_GB2312"/>
                <w:b/>
                <w:sz w:val="24"/>
              </w:rPr>
              <w:t>序号</w:t>
            </w:r>
          </w:p>
        </w:tc>
        <w:tc>
          <w:tcPr>
            <w:tcW w:w="1275" w:type="dxa"/>
            <w:shd w:val="clear" w:color="000000" w:fill="auto"/>
            <w:vAlign w:val="center"/>
          </w:tcPr>
          <w:p>
            <w:pPr>
              <w:snapToGrid w:val="0"/>
              <w:spacing w:line="380" w:lineRule="exact"/>
              <w:jc w:val="center"/>
              <w:rPr>
                <w:rFonts w:eastAsia="楷体_GB2312"/>
                <w:b/>
                <w:sz w:val="24"/>
              </w:rPr>
            </w:pPr>
            <w:r>
              <w:rPr>
                <w:rFonts w:eastAsia="楷体_GB2312"/>
                <w:b/>
                <w:sz w:val="24"/>
              </w:rPr>
              <w:t>评审项目</w:t>
            </w:r>
          </w:p>
        </w:tc>
        <w:tc>
          <w:tcPr>
            <w:tcW w:w="1276" w:type="dxa"/>
            <w:shd w:val="clear" w:color="000000" w:fill="auto"/>
            <w:vAlign w:val="center"/>
          </w:tcPr>
          <w:p>
            <w:pPr>
              <w:snapToGrid w:val="0"/>
              <w:spacing w:line="380" w:lineRule="exact"/>
              <w:jc w:val="center"/>
              <w:rPr>
                <w:rFonts w:eastAsia="楷体_GB2312"/>
                <w:b/>
                <w:sz w:val="24"/>
              </w:rPr>
            </w:pPr>
            <w:r>
              <w:rPr>
                <w:rFonts w:eastAsia="楷体_GB2312"/>
                <w:b/>
                <w:sz w:val="24"/>
              </w:rPr>
              <w:t>标准分数</w:t>
            </w:r>
          </w:p>
        </w:tc>
        <w:tc>
          <w:tcPr>
            <w:tcW w:w="5918" w:type="dxa"/>
            <w:shd w:val="clear" w:color="000000" w:fill="auto"/>
            <w:vAlign w:val="center"/>
          </w:tcPr>
          <w:p>
            <w:pPr>
              <w:snapToGrid w:val="0"/>
              <w:spacing w:line="380" w:lineRule="exact"/>
              <w:jc w:val="center"/>
              <w:rPr>
                <w:rFonts w:eastAsia="楷体_GB2312"/>
                <w:b/>
                <w:sz w:val="24"/>
              </w:rPr>
            </w:pPr>
            <w:r>
              <w:rPr>
                <w:rFonts w:eastAsia="楷体_GB2312"/>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jc w:val="center"/>
        </w:trPr>
        <w:tc>
          <w:tcPr>
            <w:tcW w:w="818"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1</w:t>
            </w:r>
          </w:p>
        </w:tc>
        <w:tc>
          <w:tcPr>
            <w:tcW w:w="1275" w:type="dxa"/>
            <w:vAlign w:val="center"/>
          </w:tcPr>
          <w:p>
            <w:pPr>
              <w:autoSpaceDE w:val="0"/>
              <w:autoSpaceDN w:val="0"/>
              <w:snapToGrid w:val="0"/>
              <w:spacing w:line="380" w:lineRule="exact"/>
              <w:jc w:val="center"/>
              <w:rPr>
                <w:rFonts w:eastAsia="楷体_GB2312"/>
                <w:sz w:val="24"/>
              </w:rPr>
            </w:pPr>
            <w:r>
              <w:rPr>
                <w:rFonts w:eastAsia="楷体_GB2312"/>
                <w:sz w:val="24"/>
              </w:rPr>
              <w:t>设备技术参数</w:t>
            </w:r>
          </w:p>
        </w:tc>
        <w:tc>
          <w:tcPr>
            <w:tcW w:w="1276" w:type="dxa"/>
            <w:vAlign w:val="center"/>
          </w:tcPr>
          <w:p>
            <w:pPr>
              <w:snapToGrid w:val="0"/>
              <w:spacing w:line="380" w:lineRule="exact"/>
              <w:jc w:val="center"/>
              <w:rPr>
                <w:rFonts w:eastAsia="楷体_GB2312"/>
                <w:sz w:val="24"/>
              </w:rPr>
            </w:pPr>
            <w:r>
              <w:rPr>
                <w:rFonts w:eastAsia="楷体_GB2312"/>
                <w:sz w:val="24"/>
              </w:rPr>
              <w:t>35</w:t>
            </w:r>
          </w:p>
        </w:tc>
        <w:tc>
          <w:tcPr>
            <w:tcW w:w="5918" w:type="dxa"/>
            <w:vAlign w:val="center"/>
          </w:tcPr>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1</w:t>
            </w:r>
            <w:r>
              <w:rPr>
                <w:rFonts w:hint="eastAsia" w:ascii="Times New Roman" w:hAnsi="Times New Roman" w:eastAsia="楷体_GB2312"/>
                <w:sz w:val="24"/>
                <w:szCs w:val="24"/>
              </w:rPr>
              <w:t>.</w:t>
            </w:r>
            <w:r>
              <w:rPr>
                <w:rFonts w:ascii="Times New Roman" w:hAnsi="Times New Roman" w:eastAsia="楷体_GB2312"/>
                <w:sz w:val="24"/>
                <w:szCs w:val="24"/>
              </w:rPr>
              <w:t>技术参数完全满足采购文件第五章</w:t>
            </w:r>
            <w:r>
              <w:rPr>
                <w:rFonts w:ascii="Times New Roman" w:hAnsi="Times New Roman" w:eastAsia="楷体_GB2312"/>
                <w:b/>
                <w:bCs/>
                <w:sz w:val="24"/>
                <w:szCs w:val="24"/>
              </w:rPr>
              <w:t>工艺要求</w:t>
            </w:r>
            <w:r>
              <w:rPr>
                <w:rFonts w:ascii="Times New Roman" w:hAnsi="Times New Roman" w:eastAsia="楷体_GB2312"/>
                <w:sz w:val="24"/>
                <w:szCs w:val="24"/>
              </w:rPr>
              <w:t>的需求内容得10分，</w:t>
            </w:r>
            <w:r>
              <w:rPr>
                <w:rFonts w:ascii="Times New Roman" w:hAnsi="Times New Roman" w:eastAsia="楷体_GB2312"/>
                <w:b/>
                <w:bCs/>
                <w:sz w:val="24"/>
                <w:szCs w:val="24"/>
              </w:rPr>
              <w:t>重要</w:t>
            </w:r>
            <w:r>
              <w:rPr>
                <w:rFonts w:ascii="Times New Roman" w:hAnsi="Times New Roman" w:eastAsia="楷体_GB2312"/>
                <w:sz w:val="24"/>
                <w:szCs w:val="24"/>
              </w:rPr>
              <w:t>参数及功能项有负偏离或漏项的每一项扣1分</w:t>
            </w:r>
            <w:r>
              <w:rPr>
                <w:rFonts w:hint="eastAsia" w:ascii="Times New Roman" w:hAnsi="Times New Roman" w:eastAsia="楷体_GB2312"/>
                <w:sz w:val="24"/>
                <w:szCs w:val="24"/>
              </w:rPr>
              <w:t>，</w:t>
            </w:r>
            <w:r>
              <w:rPr>
                <w:rFonts w:ascii="Times New Roman" w:hAnsi="Times New Roman" w:eastAsia="楷体_GB2312"/>
                <w:sz w:val="24"/>
                <w:szCs w:val="24"/>
              </w:rPr>
              <w:t xml:space="preserve"> </w:t>
            </w:r>
            <w:r>
              <w:rPr>
                <w:rFonts w:ascii="Times New Roman" w:hAnsi="Times New Roman" w:eastAsia="楷体_GB2312"/>
                <w:b/>
                <w:bCs/>
                <w:sz w:val="24"/>
                <w:szCs w:val="24"/>
              </w:rPr>
              <w:t>一般</w:t>
            </w:r>
            <w:r>
              <w:rPr>
                <w:rFonts w:ascii="Times New Roman" w:hAnsi="Times New Roman" w:eastAsia="楷体_GB2312"/>
                <w:sz w:val="24"/>
                <w:szCs w:val="24"/>
              </w:rPr>
              <w:t>参数及功能项有负偏离或漏项的每一项扣0.5分最低扣至0分。</w:t>
            </w:r>
          </w:p>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2</w:t>
            </w:r>
            <w:r>
              <w:rPr>
                <w:rFonts w:hint="eastAsia" w:ascii="Times New Roman" w:hAnsi="Times New Roman" w:eastAsia="楷体_GB2312"/>
                <w:sz w:val="24"/>
                <w:szCs w:val="24"/>
              </w:rPr>
              <w:t>.</w:t>
            </w:r>
            <w:r>
              <w:rPr>
                <w:rFonts w:ascii="Times New Roman" w:hAnsi="Times New Roman" w:eastAsia="楷体_GB2312"/>
                <w:sz w:val="24"/>
                <w:szCs w:val="24"/>
              </w:rPr>
              <w:t>技术参数完全满足采购文件第五章</w:t>
            </w:r>
            <w:r>
              <w:rPr>
                <w:rFonts w:ascii="Times New Roman" w:hAnsi="Times New Roman" w:eastAsia="楷体_GB2312"/>
                <w:b/>
                <w:bCs/>
                <w:sz w:val="24"/>
                <w:szCs w:val="24"/>
              </w:rPr>
              <w:t>电器控制要求</w:t>
            </w:r>
            <w:r>
              <w:rPr>
                <w:rFonts w:ascii="Times New Roman" w:hAnsi="Times New Roman" w:eastAsia="楷体_GB2312"/>
                <w:sz w:val="24"/>
                <w:szCs w:val="24"/>
              </w:rPr>
              <w:t>的需求内容得10分；</w:t>
            </w:r>
            <w:r>
              <w:rPr>
                <w:rFonts w:ascii="Times New Roman" w:hAnsi="Times New Roman" w:eastAsia="楷体_GB2312"/>
                <w:b/>
                <w:bCs/>
                <w:sz w:val="24"/>
                <w:szCs w:val="24"/>
              </w:rPr>
              <w:t>重要</w:t>
            </w:r>
            <w:r>
              <w:rPr>
                <w:rFonts w:ascii="Times New Roman" w:hAnsi="Times New Roman" w:eastAsia="楷体_GB2312"/>
                <w:sz w:val="24"/>
                <w:szCs w:val="24"/>
              </w:rPr>
              <w:t>参数及功能项有负偏离或漏项的每一项扣1分</w:t>
            </w:r>
            <w:r>
              <w:rPr>
                <w:rFonts w:hint="eastAsia" w:ascii="Times New Roman" w:hAnsi="Times New Roman" w:eastAsia="楷体_GB2312"/>
                <w:sz w:val="24"/>
                <w:szCs w:val="24"/>
              </w:rPr>
              <w:t>，</w:t>
            </w:r>
            <w:r>
              <w:rPr>
                <w:rFonts w:ascii="Times New Roman" w:hAnsi="Times New Roman" w:eastAsia="楷体_GB2312"/>
                <w:sz w:val="24"/>
                <w:szCs w:val="24"/>
              </w:rPr>
              <w:t xml:space="preserve"> </w:t>
            </w:r>
            <w:r>
              <w:rPr>
                <w:rFonts w:ascii="Times New Roman" w:hAnsi="Times New Roman" w:eastAsia="楷体_GB2312"/>
                <w:b/>
                <w:bCs/>
                <w:sz w:val="24"/>
                <w:szCs w:val="24"/>
              </w:rPr>
              <w:t>一般</w:t>
            </w:r>
            <w:r>
              <w:rPr>
                <w:rFonts w:ascii="Times New Roman" w:hAnsi="Times New Roman" w:eastAsia="楷体_GB2312"/>
                <w:sz w:val="24"/>
                <w:szCs w:val="24"/>
              </w:rPr>
              <w:t>参数及功能项有负偏离或漏项的每一项扣0.5分最低扣至0分。</w:t>
            </w:r>
          </w:p>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3</w:t>
            </w:r>
            <w:r>
              <w:rPr>
                <w:rFonts w:hint="eastAsia" w:ascii="Times New Roman" w:hAnsi="Times New Roman" w:eastAsia="楷体_GB2312"/>
                <w:sz w:val="24"/>
                <w:szCs w:val="24"/>
              </w:rPr>
              <w:t>.</w:t>
            </w:r>
            <w:r>
              <w:rPr>
                <w:rFonts w:ascii="Times New Roman" w:hAnsi="Times New Roman" w:eastAsia="楷体_GB2312"/>
                <w:sz w:val="24"/>
                <w:szCs w:val="24"/>
              </w:rPr>
              <w:t>技术参数完全满足采购文件第五章</w:t>
            </w:r>
            <w:r>
              <w:rPr>
                <w:rFonts w:ascii="Times New Roman" w:hAnsi="Times New Roman" w:eastAsia="楷体_GB2312"/>
                <w:b/>
                <w:bCs/>
                <w:sz w:val="24"/>
                <w:szCs w:val="24"/>
              </w:rPr>
              <w:t>安全要求</w:t>
            </w:r>
            <w:r>
              <w:rPr>
                <w:rFonts w:ascii="Times New Roman" w:hAnsi="Times New Roman" w:eastAsia="楷体_GB2312"/>
                <w:sz w:val="24"/>
                <w:szCs w:val="24"/>
              </w:rPr>
              <w:t>的需求内容得10分；</w:t>
            </w:r>
            <w:r>
              <w:rPr>
                <w:rFonts w:ascii="Times New Roman" w:hAnsi="Times New Roman" w:eastAsia="楷体_GB2312"/>
                <w:b/>
                <w:bCs/>
                <w:sz w:val="24"/>
                <w:szCs w:val="24"/>
              </w:rPr>
              <w:t>重要</w:t>
            </w:r>
            <w:r>
              <w:rPr>
                <w:rFonts w:ascii="Times New Roman" w:hAnsi="Times New Roman" w:eastAsia="楷体_GB2312"/>
                <w:sz w:val="24"/>
                <w:szCs w:val="24"/>
              </w:rPr>
              <w:t>参数及功能项有负偏离或漏项的每一项扣1分</w:t>
            </w:r>
            <w:r>
              <w:rPr>
                <w:rFonts w:hint="eastAsia" w:ascii="Times New Roman" w:hAnsi="Times New Roman" w:eastAsia="楷体_GB2312"/>
                <w:sz w:val="24"/>
                <w:szCs w:val="24"/>
              </w:rPr>
              <w:t>，</w:t>
            </w:r>
            <w:r>
              <w:rPr>
                <w:rFonts w:ascii="Times New Roman" w:hAnsi="Times New Roman" w:eastAsia="楷体_GB2312"/>
                <w:sz w:val="24"/>
                <w:szCs w:val="24"/>
              </w:rPr>
              <w:t xml:space="preserve"> </w:t>
            </w:r>
            <w:r>
              <w:rPr>
                <w:rFonts w:ascii="Times New Roman" w:hAnsi="Times New Roman" w:eastAsia="楷体_GB2312"/>
                <w:b/>
                <w:bCs/>
                <w:sz w:val="24"/>
                <w:szCs w:val="24"/>
              </w:rPr>
              <w:t>一般</w:t>
            </w:r>
            <w:r>
              <w:rPr>
                <w:rFonts w:ascii="Times New Roman" w:hAnsi="Times New Roman" w:eastAsia="楷体_GB2312"/>
                <w:sz w:val="24"/>
                <w:szCs w:val="24"/>
              </w:rPr>
              <w:t>参数及功能项有负偏离或漏项的每一项扣0.5分最低扣至0分。</w:t>
            </w:r>
          </w:p>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4</w:t>
            </w:r>
            <w:r>
              <w:rPr>
                <w:rFonts w:hint="eastAsia" w:ascii="Times New Roman" w:hAnsi="Times New Roman" w:eastAsia="楷体_GB2312"/>
                <w:sz w:val="24"/>
                <w:szCs w:val="24"/>
              </w:rPr>
              <w:t>.</w:t>
            </w:r>
            <w:r>
              <w:rPr>
                <w:rFonts w:ascii="Times New Roman" w:hAnsi="Times New Roman" w:eastAsia="楷体_GB2312"/>
                <w:sz w:val="24"/>
                <w:szCs w:val="24"/>
              </w:rPr>
              <w:t>技术参数有优于采购文件第五章的要求且评审时被评审委员会接受的，每优于一项加1分</w:t>
            </w:r>
            <w:r>
              <w:rPr>
                <w:rFonts w:hint="eastAsia" w:ascii="Times New Roman" w:hAnsi="Times New Roman" w:eastAsia="楷体_GB2312"/>
                <w:sz w:val="24"/>
                <w:szCs w:val="24"/>
              </w:rPr>
              <w:t>，</w:t>
            </w:r>
            <w:r>
              <w:rPr>
                <w:rFonts w:ascii="Times New Roman" w:hAnsi="Times New Roman" w:eastAsia="楷体_GB2312"/>
                <w:sz w:val="24"/>
                <w:szCs w:val="24"/>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2</w:t>
            </w:r>
          </w:p>
        </w:tc>
        <w:tc>
          <w:tcPr>
            <w:tcW w:w="1275" w:type="dxa"/>
            <w:vAlign w:val="center"/>
          </w:tcPr>
          <w:p>
            <w:pPr>
              <w:autoSpaceDE w:val="0"/>
              <w:autoSpaceDN w:val="0"/>
              <w:snapToGrid w:val="0"/>
              <w:spacing w:line="380" w:lineRule="exact"/>
              <w:jc w:val="center"/>
              <w:rPr>
                <w:rFonts w:eastAsia="楷体_GB2312"/>
                <w:sz w:val="24"/>
              </w:rPr>
            </w:pPr>
            <w:r>
              <w:rPr>
                <w:rFonts w:eastAsia="楷体_GB2312"/>
                <w:sz w:val="24"/>
              </w:rPr>
              <w:t>质量及售后服务</w:t>
            </w:r>
          </w:p>
        </w:tc>
        <w:tc>
          <w:tcPr>
            <w:tcW w:w="1276" w:type="dxa"/>
            <w:vAlign w:val="center"/>
          </w:tcPr>
          <w:p>
            <w:pPr>
              <w:snapToGrid w:val="0"/>
              <w:spacing w:line="380" w:lineRule="exact"/>
              <w:jc w:val="center"/>
              <w:rPr>
                <w:rFonts w:eastAsia="楷体_GB2312"/>
                <w:sz w:val="24"/>
              </w:rPr>
            </w:pPr>
            <w:r>
              <w:rPr>
                <w:rFonts w:eastAsia="楷体_GB2312"/>
                <w:sz w:val="24"/>
              </w:rPr>
              <w:t>10</w:t>
            </w:r>
          </w:p>
        </w:tc>
        <w:tc>
          <w:tcPr>
            <w:tcW w:w="5918" w:type="dxa"/>
            <w:vAlign w:val="center"/>
          </w:tcPr>
          <w:p>
            <w:pPr>
              <w:pStyle w:val="13"/>
              <w:spacing w:line="380" w:lineRule="exact"/>
              <w:rPr>
                <w:rFonts w:ascii="Times New Roman" w:hAnsi="Times New Roman" w:eastAsia="楷体_GB2312"/>
                <w:sz w:val="24"/>
                <w:szCs w:val="24"/>
              </w:rPr>
            </w:pPr>
            <w:r>
              <w:rPr>
                <w:rFonts w:ascii="Times New Roman" w:hAnsi="Times New Roman" w:eastAsia="楷体_GB2312"/>
                <w:sz w:val="24"/>
                <w:szCs w:val="24"/>
              </w:rPr>
              <w:t>设备供应商具有良好的售后服务团队，能协助用户远程处理常见问题维修。保修期内长期提供优惠的维修服务及零部件，明确零部件的供货周期，接维修报障响应时间应在4小时内，若有需要48小时内到我司维修。质量及售后服务方案详细，有针对性，可操作性强，服务承诺较好得【8-10】分；质量及售后服务方案一般，有针对性，操作性一般，服务承诺一般得(5-7】分；质量及售后服务方案差，服务承诺差得（3-5】分；无质量及售后服务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3</w:t>
            </w:r>
          </w:p>
        </w:tc>
        <w:tc>
          <w:tcPr>
            <w:tcW w:w="1275" w:type="dxa"/>
            <w:vAlign w:val="center"/>
          </w:tcPr>
          <w:p>
            <w:pPr>
              <w:widowControl/>
              <w:spacing w:line="380" w:lineRule="exact"/>
              <w:jc w:val="center"/>
              <w:textAlignment w:val="center"/>
              <w:rPr>
                <w:rFonts w:eastAsia="楷体_GB2312"/>
                <w:sz w:val="24"/>
              </w:rPr>
            </w:pPr>
            <w:r>
              <w:rPr>
                <w:rFonts w:eastAsia="楷体_GB2312"/>
                <w:sz w:val="24"/>
              </w:rPr>
              <w:t>供货周期</w:t>
            </w:r>
          </w:p>
        </w:tc>
        <w:tc>
          <w:tcPr>
            <w:tcW w:w="1276" w:type="dxa"/>
            <w:vAlign w:val="center"/>
          </w:tcPr>
          <w:p>
            <w:pPr>
              <w:widowControl/>
              <w:spacing w:line="380" w:lineRule="exact"/>
              <w:jc w:val="center"/>
              <w:textAlignment w:val="center"/>
              <w:rPr>
                <w:rFonts w:eastAsia="楷体_GB2312"/>
                <w:sz w:val="24"/>
              </w:rPr>
            </w:pPr>
            <w:r>
              <w:rPr>
                <w:rFonts w:eastAsia="楷体_GB2312"/>
                <w:sz w:val="24"/>
              </w:rPr>
              <w:t>10</w:t>
            </w:r>
          </w:p>
        </w:tc>
        <w:tc>
          <w:tcPr>
            <w:tcW w:w="5918" w:type="dxa"/>
            <w:vAlign w:val="center"/>
          </w:tcPr>
          <w:p>
            <w:pPr>
              <w:widowControl/>
              <w:spacing w:line="380" w:lineRule="exact"/>
              <w:jc w:val="left"/>
              <w:textAlignment w:val="center"/>
              <w:rPr>
                <w:rFonts w:eastAsia="楷体_GB2312"/>
                <w:sz w:val="24"/>
              </w:rPr>
            </w:pPr>
            <w:r>
              <w:rPr>
                <w:rFonts w:eastAsia="楷体_GB2312"/>
                <w:sz w:val="24"/>
              </w:rPr>
              <w:t>按采购文件约定的供货周期到货情况打分，供应商承诺每提前一天得1分，最高分10分。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shd w:val="clear" w:color="000000" w:fill="FFFFFF"/>
            <w:vAlign w:val="center"/>
          </w:tcPr>
          <w:p>
            <w:pPr>
              <w:widowControl/>
              <w:snapToGrid w:val="0"/>
              <w:spacing w:line="380" w:lineRule="exact"/>
              <w:jc w:val="center"/>
              <w:rPr>
                <w:rFonts w:eastAsia="楷体_GB2312"/>
                <w:sz w:val="24"/>
              </w:rPr>
            </w:pPr>
            <w:r>
              <w:rPr>
                <w:rFonts w:eastAsia="楷体_GB2312"/>
                <w:sz w:val="24"/>
              </w:rPr>
              <w:t>4</w:t>
            </w:r>
          </w:p>
        </w:tc>
        <w:tc>
          <w:tcPr>
            <w:tcW w:w="1275" w:type="dxa"/>
            <w:vAlign w:val="center"/>
          </w:tcPr>
          <w:p>
            <w:pPr>
              <w:spacing w:line="380" w:lineRule="exact"/>
              <w:jc w:val="center"/>
              <w:rPr>
                <w:rFonts w:eastAsia="楷体_GB2312"/>
                <w:sz w:val="24"/>
              </w:rPr>
            </w:pPr>
            <w:r>
              <w:rPr>
                <w:rFonts w:eastAsia="楷体_GB2312"/>
                <w:sz w:val="24"/>
              </w:rPr>
              <w:t>培训</w:t>
            </w:r>
          </w:p>
        </w:tc>
        <w:tc>
          <w:tcPr>
            <w:tcW w:w="1276" w:type="dxa"/>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10</w:t>
            </w:r>
          </w:p>
        </w:tc>
        <w:tc>
          <w:tcPr>
            <w:tcW w:w="5918" w:type="dxa"/>
            <w:vAlign w:val="center"/>
          </w:tcPr>
          <w:p>
            <w:pPr>
              <w:pStyle w:val="74"/>
              <w:tabs>
                <w:tab w:val="left" w:pos="1050"/>
              </w:tabs>
              <w:snapToGrid w:val="0"/>
              <w:spacing w:line="380" w:lineRule="exact"/>
              <w:ind w:left="12" w:hanging="12" w:hangingChars="5"/>
              <w:jc w:val="left"/>
              <w:rPr>
                <w:rFonts w:ascii="Times New Roman" w:eastAsia="楷体_GB2312"/>
                <w:sz w:val="24"/>
                <w:szCs w:val="24"/>
              </w:rPr>
            </w:pPr>
            <w:r>
              <w:rPr>
                <w:rFonts w:ascii="Times New Roman" w:eastAsia="楷体_GB2312"/>
                <w:sz w:val="24"/>
                <w:szCs w:val="24"/>
              </w:rPr>
              <w:t>供应商承诺为本项目提供完整的理论知识及实际操作的综合培训，使采购方受训人员（至少三人）能够独立熟练完成操作，并能掌握使用过程中的注意事项，能够完成简单的故障排除。培训时长不少于2天。培训服务可操作性强，具有针对性，服务承诺较好得【8-10】分；培训服务可操作性一般，服务承诺一般得(5-7】分；培训服务方案差，服务承诺差得（3-5】分；无培训服务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5</w:t>
            </w:r>
          </w:p>
        </w:tc>
        <w:tc>
          <w:tcPr>
            <w:tcW w:w="1275" w:type="dxa"/>
            <w:vAlign w:val="center"/>
          </w:tcPr>
          <w:p>
            <w:pPr>
              <w:spacing w:line="380" w:lineRule="exact"/>
              <w:jc w:val="center"/>
              <w:rPr>
                <w:rFonts w:eastAsia="楷体_GB2312"/>
                <w:sz w:val="24"/>
              </w:rPr>
            </w:pPr>
            <w:r>
              <w:rPr>
                <w:rFonts w:eastAsia="楷体_GB2312"/>
                <w:sz w:val="24"/>
              </w:rPr>
              <w:t>技术优点</w:t>
            </w:r>
          </w:p>
        </w:tc>
        <w:tc>
          <w:tcPr>
            <w:tcW w:w="1276" w:type="dxa"/>
            <w:vAlign w:val="center"/>
          </w:tcPr>
          <w:p>
            <w:pPr>
              <w:snapToGrid w:val="0"/>
              <w:spacing w:line="380" w:lineRule="exact"/>
              <w:jc w:val="center"/>
              <w:rPr>
                <w:rFonts w:eastAsia="楷体_GB2312"/>
                <w:sz w:val="24"/>
              </w:rPr>
            </w:pPr>
            <w:r>
              <w:rPr>
                <w:rFonts w:eastAsia="楷体_GB2312"/>
                <w:sz w:val="24"/>
              </w:rPr>
              <w:t>20</w:t>
            </w:r>
          </w:p>
        </w:tc>
        <w:tc>
          <w:tcPr>
            <w:tcW w:w="5918" w:type="dxa"/>
            <w:vAlign w:val="center"/>
          </w:tcPr>
          <w:p>
            <w:pPr>
              <w:spacing w:line="380" w:lineRule="exact"/>
              <w:rPr>
                <w:rFonts w:eastAsia="楷体_GB2312"/>
                <w:sz w:val="24"/>
                <w:lang w:eastAsia="zh-Hans"/>
              </w:rPr>
            </w:pPr>
            <w:r>
              <w:rPr>
                <w:rFonts w:eastAsia="楷体_GB2312"/>
                <w:sz w:val="24"/>
              </w:rPr>
              <w:t>具有用于本设备独有专利或技术优点的，能提供相关的专利证书，每项得5分，满分20分。需提供相关专利证书复印件。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8" w:type="dxa"/>
            <w:shd w:val="clear" w:color="000000" w:fill="FFFFFF"/>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6</w:t>
            </w:r>
          </w:p>
        </w:tc>
        <w:tc>
          <w:tcPr>
            <w:tcW w:w="1275" w:type="dxa"/>
            <w:vAlign w:val="center"/>
          </w:tcPr>
          <w:p>
            <w:pPr>
              <w:autoSpaceDE w:val="0"/>
              <w:autoSpaceDN w:val="0"/>
              <w:snapToGrid w:val="0"/>
              <w:spacing w:line="380" w:lineRule="exact"/>
              <w:jc w:val="center"/>
              <w:rPr>
                <w:rFonts w:eastAsia="楷体_GB2312"/>
                <w:sz w:val="24"/>
              </w:rPr>
            </w:pPr>
            <w:r>
              <w:rPr>
                <w:rFonts w:eastAsia="楷体_GB2312"/>
                <w:sz w:val="24"/>
              </w:rPr>
              <w:t>业绩</w:t>
            </w:r>
          </w:p>
        </w:tc>
        <w:tc>
          <w:tcPr>
            <w:tcW w:w="1276" w:type="dxa"/>
            <w:vAlign w:val="center"/>
          </w:tcPr>
          <w:p>
            <w:pPr>
              <w:pStyle w:val="74"/>
              <w:tabs>
                <w:tab w:val="left" w:pos="1050"/>
              </w:tabs>
              <w:snapToGrid w:val="0"/>
              <w:spacing w:line="380" w:lineRule="exact"/>
              <w:ind w:left="12" w:hanging="12" w:hangingChars="5"/>
              <w:jc w:val="center"/>
              <w:rPr>
                <w:rFonts w:ascii="Times New Roman" w:eastAsia="楷体_GB2312"/>
                <w:sz w:val="24"/>
                <w:szCs w:val="24"/>
              </w:rPr>
            </w:pPr>
            <w:r>
              <w:rPr>
                <w:rFonts w:ascii="Times New Roman" w:eastAsia="楷体_GB2312"/>
                <w:sz w:val="24"/>
                <w:szCs w:val="24"/>
              </w:rPr>
              <w:t>15</w:t>
            </w:r>
          </w:p>
        </w:tc>
        <w:tc>
          <w:tcPr>
            <w:tcW w:w="5918" w:type="dxa"/>
            <w:vAlign w:val="center"/>
          </w:tcPr>
          <w:p>
            <w:pPr>
              <w:pStyle w:val="25"/>
              <w:snapToGrid w:val="0"/>
              <w:spacing w:before="0" w:beforeAutospacing="0" w:after="0" w:afterAutospacing="0" w:line="380" w:lineRule="exact"/>
              <w:outlineLvl w:val="0"/>
              <w:rPr>
                <w:rFonts w:ascii="Times New Roman" w:hAnsi="Times New Roman" w:eastAsia="楷体_GB2312" w:cs="Times New Roman"/>
                <w:kern w:val="2"/>
              </w:rPr>
            </w:pPr>
            <w:r>
              <w:rPr>
                <w:rFonts w:ascii="Times New Roman" w:hAnsi="Times New Roman" w:eastAsia="楷体_GB2312" w:cs="Times New Roman"/>
                <w:kern w:val="2"/>
              </w:rPr>
              <w:t>满足采购公告中业绩资格要求，得5分；在此基础上，每增加1项满足采购公告业绩资格要求业绩加3分，此项最高得15分。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2093" w:type="dxa"/>
            <w:gridSpan w:val="2"/>
            <w:shd w:val="clear" w:color="000000" w:fill="FFFFFF"/>
            <w:vAlign w:val="center"/>
          </w:tcPr>
          <w:p>
            <w:pPr>
              <w:widowControl/>
              <w:snapToGrid w:val="0"/>
              <w:spacing w:line="380" w:lineRule="exact"/>
              <w:jc w:val="center"/>
              <w:rPr>
                <w:rFonts w:eastAsia="楷体_GB2312"/>
                <w:sz w:val="24"/>
              </w:rPr>
            </w:pPr>
            <w:r>
              <w:rPr>
                <w:rFonts w:eastAsia="楷体_GB2312"/>
                <w:sz w:val="24"/>
              </w:rPr>
              <w:t>合计</w:t>
            </w:r>
          </w:p>
        </w:tc>
        <w:tc>
          <w:tcPr>
            <w:tcW w:w="1276" w:type="dxa"/>
            <w:vAlign w:val="center"/>
          </w:tcPr>
          <w:p>
            <w:pPr>
              <w:widowControl/>
              <w:snapToGrid w:val="0"/>
              <w:spacing w:line="380" w:lineRule="exact"/>
              <w:jc w:val="center"/>
              <w:rPr>
                <w:rFonts w:eastAsia="楷体_GB2312"/>
                <w:sz w:val="24"/>
              </w:rPr>
            </w:pPr>
            <w:r>
              <w:rPr>
                <w:rFonts w:eastAsia="楷体_GB2312"/>
                <w:sz w:val="24"/>
              </w:rPr>
              <w:t>100</w:t>
            </w:r>
          </w:p>
        </w:tc>
        <w:tc>
          <w:tcPr>
            <w:tcW w:w="5918" w:type="dxa"/>
            <w:vAlign w:val="center"/>
          </w:tcPr>
          <w:p>
            <w:pPr>
              <w:widowControl/>
              <w:snapToGrid w:val="0"/>
              <w:spacing w:line="380" w:lineRule="exact"/>
              <w:rPr>
                <w:rFonts w:eastAsia="楷体_GB2312"/>
                <w:sz w:val="24"/>
              </w:rPr>
            </w:pPr>
          </w:p>
        </w:tc>
      </w:tr>
    </w:tbl>
    <w:p>
      <w:pPr>
        <w:widowControl/>
        <w:spacing w:line="360" w:lineRule="auto"/>
        <w:jc w:val="left"/>
        <w:rPr>
          <w:rFonts w:ascii="楷体_GB2312" w:eastAsia="楷体_GB2312"/>
          <w:sz w:val="24"/>
        </w:rPr>
      </w:pPr>
      <w:bookmarkStart w:id="130" w:name="_Hlk197955906"/>
      <w:r>
        <w:rPr>
          <w:rFonts w:hint="eastAsia" w:ascii="楷体_GB2312" w:eastAsia="楷体_GB2312"/>
          <w:sz w:val="24"/>
        </w:rPr>
        <w:t>备注：1.“（）”指不包含本数，“【】”指包含本数，如(5-7】得分为6-7分。</w:t>
      </w:r>
    </w:p>
    <w:p>
      <w:pPr>
        <w:spacing w:before="20" w:after="20"/>
        <w:ind w:firstLine="720" w:firstLineChars="300"/>
        <w:rPr>
          <w:rFonts w:ascii="楷体_GB2312" w:eastAsia="楷体_GB2312" w:cs="宋体"/>
          <w:sz w:val="24"/>
        </w:rPr>
      </w:pPr>
      <w:r>
        <w:rPr>
          <w:rFonts w:hint="eastAsia" w:ascii="楷体_GB2312" w:eastAsia="楷体_GB2312"/>
          <w:sz w:val="24"/>
          <w:szCs w:val="32"/>
        </w:rPr>
        <w:t>2.第五章技术标准与要求中，</w:t>
      </w:r>
      <w:bookmarkStart w:id="131" w:name="_Hlk182388069"/>
      <w:r>
        <w:rPr>
          <w:rFonts w:hint="eastAsia" w:ascii="楷体_GB2312" w:eastAsia="楷体_GB2312" w:cs="宋体"/>
          <w:sz w:val="24"/>
        </w:rPr>
        <w:t>带★技术要求为必须响应，任一项参数不响应，投标将被否决；带▲技术要求为重要条件，每有1项负偏离扣1分；未做标记项目为一般项目，每有1项负偏离扣0.5分。</w:t>
      </w:r>
    </w:p>
    <w:bookmarkEnd w:id="130"/>
    <w:bookmarkEnd w:id="131"/>
    <w:p>
      <w:pPr>
        <w:pStyle w:val="4"/>
        <w:widowControl/>
        <w:spacing w:line="360" w:lineRule="auto"/>
        <w:jc w:val="left"/>
      </w:pPr>
    </w:p>
    <w:p>
      <w:pPr>
        <w:pStyle w:val="4"/>
        <w:widowControl/>
        <w:spacing w:line="360" w:lineRule="auto"/>
        <w:jc w:val="left"/>
      </w:pPr>
    </w:p>
    <w:p>
      <w:pPr>
        <w:pStyle w:val="4"/>
        <w:widowControl/>
        <w:spacing w:line="360" w:lineRule="auto"/>
        <w:jc w:val="left"/>
      </w:pPr>
    </w:p>
    <w:p>
      <w:pPr>
        <w:pStyle w:val="4"/>
        <w:widowControl/>
        <w:spacing w:line="360" w:lineRule="auto"/>
        <w:jc w:val="left"/>
      </w:pPr>
    </w:p>
    <w:p>
      <w:pPr>
        <w:pStyle w:val="4"/>
        <w:widowControl/>
        <w:spacing w:line="360" w:lineRule="auto"/>
        <w:jc w:val="left"/>
      </w:pPr>
    </w:p>
    <w:p>
      <w:pPr>
        <w:pStyle w:val="4"/>
        <w:widowControl/>
        <w:spacing w:line="360" w:lineRule="auto"/>
        <w:jc w:val="left"/>
      </w:pPr>
    </w:p>
    <w:p>
      <w:pPr>
        <w:pStyle w:val="4"/>
        <w:widowControl/>
        <w:spacing w:line="360" w:lineRule="auto"/>
        <w:jc w:val="left"/>
      </w:pPr>
    </w:p>
    <w:p/>
    <w:bookmarkEnd w:id="126"/>
    <w:bookmarkEnd w:id="127"/>
    <w:bookmarkEnd w:id="128"/>
    <w:bookmarkEnd w:id="129"/>
    <w:p>
      <w:pPr>
        <w:pStyle w:val="4"/>
        <w:widowControl/>
        <w:spacing w:line="560" w:lineRule="exact"/>
        <w:ind w:firstLine="0" w:firstLineChars="0"/>
        <w:jc w:val="left"/>
        <w:rPr>
          <w:rFonts w:hint="eastAsia" w:ascii="黑体" w:hAnsi="黑体" w:eastAsia="黑体"/>
          <w:b w:val="0"/>
          <w:bCs w:val="0"/>
        </w:rPr>
      </w:pPr>
      <w:r>
        <w:rPr>
          <w:rFonts w:hint="eastAsia" w:ascii="黑体" w:hAnsi="黑体" w:eastAsia="黑体"/>
          <w:b w:val="0"/>
          <w:bCs w:val="0"/>
        </w:rPr>
        <w:t>附件3</w:t>
      </w:r>
      <w:r>
        <w:rPr>
          <w:rFonts w:ascii="黑体" w:hAnsi="黑体" w:eastAsia="黑体"/>
          <w:b w:val="0"/>
          <w:bCs w:val="0"/>
        </w:rPr>
        <w:t xml:space="preserve"> </w:t>
      </w:r>
    </w:p>
    <w:p>
      <w:pPr>
        <w:pStyle w:val="4"/>
        <w:widowControl/>
        <w:spacing w:line="560" w:lineRule="exact"/>
        <w:ind w:firstLine="0" w:firstLineChars="0"/>
        <w:jc w:val="center"/>
        <w:rPr>
          <w:rFonts w:hint="eastAsia" w:ascii="方正小标宋简体" w:hAnsi="黑体" w:eastAsia="方正小标宋简体"/>
          <w:b w:val="0"/>
          <w:bCs w:val="0"/>
          <w:sz w:val="44"/>
          <w:szCs w:val="44"/>
        </w:rPr>
      </w:pPr>
      <w:r>
        <w:rPr>
          <w:rFonts w:hint="eastAsia" w:ascii="方正小标宋简体" w:hAnsi="黑体" w:eastAsia="方正小标宋简体"/>
          <w:b w:val="0"/>
          <w:bCs w:val="0"/>
          <w:sz w:val="44"/>
          <w:szCs w:val="44"/>
        </w:rPr>
        <w:t>报价评审</w:t>
      </w:r>
    </w:p>
    <w:p>
      <w:pPr>
        <w:spacing w:line="560" w:lineRule="exact"/>
        <w:ind w:firstLine="640" w:firstLineChars="200"/>
        <w:rPr>
          <w:rFonts w:hint="eastAsia" w:ascii="楷体_GB2312" w:hAnsi="黑体" w:eastAsia="楷体_GB2312" w:cs="宋体"/>
          <w:bCs/>
          <w:sz w:val="32"/>
          <w:szCs w:val="32"/>
        </w:rPr>
      </w:pPr>
      <w:r>
        <w:rPr>
          <w:rFonts w:hint="eastAsia" w:ascii="楷体_GB2312" w:hAnsi="黑体" w:eastAsia="楷体_GB2312" w:cs="宋体"/>
          <w:bCs/>
          <w:sz w:val="32"/>
          <w:szCs w:val="32"/>
        </w:rPr>
        <w:t>（一）评审基准价计算方法</w:t>
      </w:r>
    </w:p>
    <w:p>
      <w:pPr>
        <w:spacing w:line="560" w:lineRule="exact"/>
        <w:ind w:firstLine="640" w:firstLineChars="200"/>
        <w:rPr>
          <w:rFonts w:eastAsia="仿宋_GB2312"/>
          <w:sz w:val="32"/>
          <w:szCs w:val="32"/>
        </w:rPr>
      </w:pPr>
      <w:r>
        <w:rPr>
          <w:rFonts w:eastAsia="仿宋_GB2312"/>
          <w:sz w:val="32"/>
          <w:szCs w:val="32"/>
        </w:rPr>
        <w:t>1.供应商评审价高于全部通过初步评审的供应商评审价算术平均值50%的不参与评审基准价的计算（通过初步评审的供应商不足四家的不适用此条）。</w:t>
      </w:r>
    </w:p>
    <w:p>
      <w:pPr>
        <w:spacing w:line="560" w:lineRule="exact"/>
        <w:ind w:firstLine="640" w:firstLineChars="200"/>
        <w:rPr>
          <w:rFonts w:eastAsia="仿宋_GB2312"/>
          <w:sz w:val="32"/>
          <w:szCs w:val="32"/>
        </w:rPr>
      </w:pPr>
      <w:r>
        <w:rPr>
          <w:rFonts w:eastAsia="仿宋_GB2312"/>
          <w:sz w:val="32"/>
          <w:szCs w:val="32"/>
        </w:rPr>
        <w:t>2.评审基准价计算方法为：</w:t>
      </w:r>
    </w:p>
    <w:p>
      <w:pPr>
        <w:spacing w:line="560" w:lineRule="exact"/>
        <w:ind w:firstLine="640" w:firstLineChars="200"/>
        <w:rPr>
          <w:rFonts w:eastAsia="仿宋_GB2312"/>
          <w:sz w:val="32"/>
          <w:szCs w:val="32"/>
        </w:rPr>
      </w:pPr>
      <w:r>
        <w:rPr>
          <w:rFonts w:eastAsia="仿宋_GB2312"/>
          <w:sz w:val="32"/>
          <w:szCs w:val="32"/>
        </w:rPr>
        <w:t>（1）当通过初步评审且参与评审基准价的供应商为9家或9家以上时，其计算方法为：</w:t>
      </w:r>
    </w:p>
    <w:p>
      <w:pPr>
        <w:spacing w:line="560" w:lineRule="exact"/>
        <w:ind w:firstLine="640" w:firstLineChars="200"/>
        <w:rPr>
          <w:rFonts w:eastAsia="仿宋_GB2312"/>
          <w:sz w:val="32"/>
          <w:szCs w:val="32"/>
        </w:rPr>
      </w:pPr>
      <w:r>
        <w:rPr>
          <w:rFonts w:eastAsia="仿宋_GB2312"/>
          <w:sz w:val="32"/>
          <w:szCs w:val="32"/>
        </w:rPr>
        <w:t>评审基准价=（所有有效供应商评审价之和-最高评审价-最低评审价）/（有效响应单位数-2）×</w:t>
      </w:r>
      <w:r>
        <w:rPr>
          <w:rFonts w:eastAsia="仿宋_GB2312"/>
          <w:sz w:val="32"/>
          <w:szCs w:val="32"/>
          <w:u w:val="single"/>
        </w:rPr>
        <w:t>95</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（2）当通过初步评审且参与评审基准价的供应商为9家以下时，其计算方法为：</w:t>
      </w:r>
    </w:p>
    <w:p>
      <w:pPr>
        <w:spacing w:line="560" w:lineRule="exact"/>
        <w:ind w:firstLine="640" w:firstLineChars="200"/>
        <w:rPr>
          <w:rFonts w:eastAsia="仿宋_GB2312"/>
          <w:sz w:val="32"/>
          <w:szCs w:val="32"/>
        </w:rPr>
      </w:pPr>
      <w:r>
        <w:rPr>
          <w:rFonts w:eastAsia="仿宋_GB2312"/>
          <w:sz w:val="32"/>
          <w:szCs w:val="32"/>
        </w:rPr>
        <w:t>评审基准价=通过初步评审供应商评审价的算术平均值×</w:t>
      </w:r>
      <w:r>
        <w:rPr>
          <w:rFonts w:eastAsia="仿宋_GB2312"/>
          <w:sz w:val="32"/>
          <w:szCs w:val="32"/>
          <w:u w:val="single"/>
        </w:rPr>
        <w:t>95</w:t>
      </w:r>
      <w:r>
        <w:rPr>
          <w:rFonts w:eastAsia="仿宋_GB2312"/>
          <w:sz w:val="32"/>
          <w:szCs w:val="32"/>
        </w:rPr>
        <w:t>%</w:t>
      </w:r>
    </w:p>
    <w:p>
      <w:pPr>
        <w:spacing w:line="560" w:lineRule="exact"/>
        <w:ind w:firstLine="640" w:firstLineChars="200"/>
        <w:rPr>
          <w:rFonts w:eastAsia="楷体_GB2312"/>
          <w:bCs/>
          <w:sz w:val="32"/>
          <w:szCs w:val="32"/>
        </w:rPr>
      </w:pPr>
      <w:r>
        <w:rPr>
          <w:rFonts w:hint="eastAsia" w:eastAsia="楷体_GB2312"/>
          <w:bCs/>
          <w:sz w:val="32"/>
          <w:szCs w:val="32"/>
        </w:rPr>
        <w:t>（二）供应商评审价格的偏差率δ</w:t>
      </w:r>
    </w:p>
    <w:p>
      <w:pPr>
        <w:spacing w:line="560" w:lineRule="exact"/>
        <w:ind w:firstLine="640" w:firstLineChars="200"/>
        <w:rPr>
          <w:rFonts w:eastAsia="仿宋_GB2312"/>
          <w:sz w:val="32"/>
          <w:szCs w:val="32"/>
        </w:rPr>
      </w:pPr>
      <w:r>
        <w:rPr>
          <w:rFonts w:eastAsia="仿宋_GB2312"/>
          <w:sz w:val="32"/>
          <w:szCs w:val="32"/>
        </w:rPr>
        <w:t>δ=（供应商评审价格-评审基准价）/评审基准价×100%。</w:t>
      </w:r>
    </w:p>
    <w:p>
      <w:pPr>
        <w:spacing w:line="560" w:lineRule="exact"/>
        <w:ind w:firstLine="640" w:firstLineChars="200"/>
        <w:rPr>
          <w:rFonts w:eastAsia="仿宋_GB2312"/>
          <w:sz w:val="32"/>
          <w:szCs w:val="32"/>
        </w:rPr>
      </w:pPr>
      <w:r>
        <w:rPr>
          <w:rFonts w:eastAsia="仿宋_GB2312"/>
          <w:sz w:val="32"/>
          <w:szCs w:val="32"/>
        </w:rPr>
        <w:t>注：百分号前保留两位小数。</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（三）响应报价得分</w:t>
      </w:r>
    </w:p>
    <w:p>
      <w:pPr>
        <w:spacing w:line="560" w:lineRule="exact"/>
        <w:ind w:firstLine="640" w:firstLineChars="200"/>
        <w:rPr>
          <w:rFonts w:eastAsia="仿宋_GB2312"/>
          <w:sz w:val="32"/>
          <w:szCs w:val="32"/>
        </w:rPr>
      </w:pPr>
      <w:r>
        <w:rPr>
          <w:rFonts w:eastAsia="仿宋_GB2312"/>
          <w:sz w:val="32"/>
          <w:szCs w:val="32"/>
        </w:rPr>
        <w:t>当δ=0时，得100分；</w:t>
      </w:r>
    </w:p>
    <w:p>
      <w:pPr>
        <w:spacing w:line="560" w:lineRule="exact"/>
        <w:ind w:firstLine="640" w:firstLineChars="200"/>
        <w:rPr>
          <w:rFonts w:eastAsia="仿宋_GB2312"/>
          <w:sz w:val="32"/>
          <w:szCs w:val="32"/>
        </w:rPr>
      </w:pPr>
      <w:r>
        <w:rPr>
          <w:rFonts w:eastAsia="仿宋_GB2312"/>
          <w:sz w:val="32"/>
          <w:szCs w:val="32"/>
        </w:rPr>
        <w:t>当δ＞0时，则投标报价得分在100分的基础上，δ每增加1个百分点，扣减1分，最低扣至0分为止；</w:t>
      </w:r>
    </w:p>
    <w:p>
      <w:pPr>
        <w:spacing w:line="560" w:lineRule="exact"/>
        <w:ind w:firstLine="640" w:firstLineChars="200"/>
        <w:rPr>
          <w:rFonts w:eastAsia="仿宋_GB2312"/>
          <w:sz w:val="32"/>
          <w:szCs w:val="32"/>
        </w:rPr>
      </w:pPr>
      <w:r>
        <w:rPr>
          <w:rFonts w:eastAsia="仿宋_GB2312"/>
          <w:sz w:val="32"/>
          <w:szCs w:val="32"/>
        </w:rPr>
        <w:t xml:space="preserve">当δ＜0时，则投标报价得分在100分的基础上，δ每减少1个百分点，扣减0.5分，最低扣至0分为止； </w:t>
      </w:r>
    </w:p>
    <w:p>
      <w:pPr>
        <w:spacing w:line="560" w:lineRule="exact"/>
        <w:ind w:firstLine="640" w:firstLineChars="200"/>
        <w:rPr>
          <w:rFonts w:eastAsia="仿宋_GB2312"/>
          <w:sz w:val="32"/>
          <w:szCs w:val="32"/>
        </w:rPr>
      </w:pPr>
      <w:r>
        <w:rPr>
          <w:rFonts w:eastAsia="仿宋_GB2312"/>
          <w:sz w:val="32"/>
          <w:szCs w:val="32"/>
        </w:rPr>
        <w:t>d.其他情形，按中间插入法计算投标报价得分。</w:t>
      </w:r>
    </w:p>
    <w:bookmarkEnd w:id="41"/>
    <w:bookmarkEnd w:id="42"/>
    <w:bookmarkEnd w:id="43"/>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44"/>
          <w:szCs w:val="44"/>
        </w:rPr>
      </w:pPr>
    </w:p>
    <w:p>
      <w:pPr>
        <w:pStyle w:val="13"/>
        <w:spacing w:line="600" w:lineRule="exact"/>
        <w:jc w:val="center"/>
        <w:outlineLvl w:val="0"/>
        <w:rPr>
          <w:rFonts w:ascii="方正小标宋简体" w:hAnsi="Times New Roman" w:eastAsia="方正小标宋简体"/>
          <w:bCs/>
          <w:sz w:val="24"/>
          <w:szCs w:val="22"/>
        </w:rPr>
      </w:pPr>
      <w:r>
        <w:rPr>
          <w:rFonts w:hint="eastAsia" w:ascii="方正小标宋简体" w:hAnsi="Times New Roman" w:eastAsia="方正小标宋简体"/>
          <w:bCs/>
          <w:sz w:val="44"/>
          <w:szCs w:val="44"/>
        </w:rPr>
        <w:t>第四章  文件格式</w:t>
      </w:r>
      <w:bookmarkStart w:id="132" w:name="_Toc139967211"/>
      <w:bookmarkStart w:id="133" w:name="_Toc139966427"/>
    </w:p>
    <w:p>
      <w:pPr>
        <w:pStyle w:val="13"/>
        <w:spacing w:line="500" w:lineRule="exact"/>
        <w:rPr>
          <w:rFonts w:hint="eastAsia" w:ascii="黑体" w:hAnsi="黑体" w:eastAsia="黑体"/>
          <w:bCs/>
          <w:sz w:val="32"/>
          <w:szCs w:val="32"/>
        </w:rPr>
      </w:pPr>
      <w:r>
        <w:rPr>
          <w:rFonts w:hint="eastAsia" w:ascii="黑体" w:hAnsi="黑体" w:eastAsia="黑体"/>
          <w:bCs/>
          <w:sz w:val="32"/>
          <w:szCs w:val="32"/>
        </w:rPr>
        <w:t>格式1：</w:t>
      </w:r>
    </w:p>
    <w:p>
      <w:pPr>
        <w:pStyle w:val="13"/>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报价函（格式）</w:t>
      </w:r>
    </w:p>
    <w:p>
      <w:pPr>
        <w:pStyle w:val="13"/>
        <w:spacing w:line="560" w:lineRule="exact"/>
        <w:rPr>
          <w:rFonts w:ascii="Times New Roman" w:hAnsi="Times New Roman" w:eastAsia="仿宋_GB2312"/>
          <w:sz w:val="32"/>
          <w:szCs w:val="32"/>
        </w:rPr>
      </w:pPr>
    </w:p>
    <w:p>
      <w:pPr>
        <w:pStyle w:val="13"/>
        <w:spacing w:line="560" w:lineRule="exact"/>
        <w:rPr>
          <w:rFonts w:ascii="Times New Roman" w:hAnsi="Times New Roman" w:eastAsia="仿宋_GB2312"/>
          <w:sz w:val="32"/>
          <w:szCs w:val="32"/>
        </w:rPr>
      </w:pPr>
      <w:r>
        <w:rPr>
          <w:rFonts w:ascii="Times New Roman" w:hAnsi="Times New Roman" w:eastAsia="仿宋_GB2312"/>
          <w:sz w:val="32"/>
          <w:szCs w:val="32"/>
        </w:rPr>
        <w:t>致：广西双钱健康产业股份有限公司</w:t>
      </w:r>
      <w:r>
        <w:rPr>
          <w:rFonts w:hint="eastAsia" w:ascii="Times New Roman" w:hAnsi="Times New Roman" w:eastAsia="仿宋_GB2312"/>
          <w:sz w:val="32"/>
          <w:szCs w:val="32"/>
        </w:rPr>
        <w:t>：</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我方已仔细阅读了贵方组织的</w:t>
      </w:r>
      <w:r>
        <w:rPr>
          <w:rFonts w:ascii="Times New Roman" w:hAnsi="Times New Roman" w:eastAsia="仿宋_GB2312"/>
          <w:sz w:val="32"/>
          <w:szCs w:val="32"/>
          <w:u w:val="single"/>
        </w:rPr>
        <w:t xml:space="preserve">        （项目名称）       </w:t>
      </w:r>
      <w:r>
        <w:rPr>
          <w:rFonts w:ascii="Times New Roman" w:hAnsi="Times New Roman" w:eastAsia="仿宋_GB2312"/>
          <w:sz w:val="32"/>
          <w:szCs w:val="32"/>
        </w:rPr>
        <w:t>项目（项目编号：        ）的比选文件的全部内容，现正式递交下述文件参加贵方组织的本次企业采购活动：方案文件正本一份，副本</w:t>
      </w:r>
      <w:r>
        <w:rPr>
          <w:rFonts w:ascii="Times New Roman" w:hAnsi="Times New Roman" w:eastAsia="仿宋_GB2312"/>
          <w:sz w:val="32"/>
          <w:szCs w:val="32"/>
          <w:u w:val="single"/>
        </w:rPr>
        <w:t>四</w:t>
      </w:r>
      <w:r>
        <w:rPr>
          <w:rFonts w:ascii="Times New Roman" w:hAnsi="Times New Roman" w:eastAsia="仿宋_GB2312"/>
          <w:sz w:val="32"/>
          <w:szCs w:val="32"/>
        </w:rPr>
        <w:t>份；</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据此函，签字人兹宣布：</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1.我方愿意以</w:t>
      </w:r>
      <w:r>
        <w:rPr>
          <w:rFonts w:ascii="Times New Roman" w:hAnsi="Times New Roman" w:eastAsia="仿宋_GB2312"/>
          <w:b/>
          <w:sz w:val="32"/>
          <w:szCs w:val="32"/>
        </w:rPr>
        <w:t>人民币（大写）</w:t>
      </w:r>
      <w:r>
        <w:rPr>
          <w:rFonts w:ascii="Times New Roman" w:hAnsi="Times New Roman" w:eastAsia="仿宋_GB2312"/>
          <w:b/>
          <w:sz w:val="32"/>
          <w:szCs w:val="32"/>
          <w:u w:val="single"/>
        </w:rPr>
        <w:t xml:space="preserve">                 （小写）（￥         ）</w:t>
      </w:r>
      <w:r>
        <w:rPr>
          <w:rFonts w:ascii="Times New Roman" w:hAnsi="Times New Roman" w:eastAsia="仿宋_GB2312"/>
          <w:sz w:val="32"/>
          <w:szCs w:val="32"/>
        </w:rPr>
        <w:t>的含税总报价，增值税率为</w:t>
      </w:r>
      <w:r>
        <w:rPr>
          <w:rFonts w:ascii="Times New Roman" w:hAnsi="Times New Roman" w:eastAsia="仿宋_GB2312"/>
          <w:sz w:val="32"/>
          <w:szCs w:val="32"/>
          <w:u w:val="single"/>
        </w:rPr>
        <w:t xml:space="preserve">  </w:t>
      </w:r>
      <w:r>
        <w:rPr>
          <w:rFonts w:ascii="Times New Roman" w:hAnsi="Times New Roman" w:eastAsia="仿宋_GB2312"/>
          <w:sz w:val="32"/>
          <w:szCs w:val="32"/>
        </w:rPr>
        <w:t>%（其中不含税金额为：            税金为：          ）。提交成果文件时间：</w:t>
      </w:r>
      <w:r>
        <w:rPr>
          <w:rFonts w:ascii="Times New Roman" w:hAnsi="Times New Roman" w:eastAsia="仿宋_GB2312"/>
          <w:sz w:val="32"/>
          <w:szCs w:val="32"/>
          <w:u w:val="single"/>
        </w:rPr>
        <w:t xml:space="preserve">            </w:t>
      </w:r>
      <w:r>
        <w:rPr>
          <w:rFonts w:ascii="Times New Roman" w:hAnsi="Times New Roman" w:eastAsia="仿宋_GB2312"/>
          <w:sz w:val="32"/>
          <w:szCs w:val="32"/>
        </w:rPr>
        <w:t>，提供本项目比选文件第二章“项目采购需求”中的采购内容。</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2.我方同意自本项目比选文件规定的截止时间起遵循本报价函，并承诺在报价有效期内不修改、撤销报价文件。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3.我方在此声明，所递交的报价文件及有关资料内容完整、真实和准确。</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4.我方承诺已经具备的条件：</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具有独立承担民事责任的能力；</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具有良好的商业信誉和健全的财务会计制度；</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具有履行合同所必需的设备和专业技术能力；</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有依法缴纳税收和社会保障资金的良好记录；</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参加本项目前三年内，在经营活动中没有重大违法记录；</w:t>
      </w:r>
    </w:p>
    <w:p>
      <w:pPr>
        <w:pStyle w:val="13"/>
        <w:tabs>
          <w:tab w:val="left" w:pos="1140"/>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法律、行政法规规定的其他条件。</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5.如本项目采购内容涉及须符合国家强制规定的，我方承诺我方本次报价（包括资格条件和所投产品）均符合国家有关强制规定。</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如我方中选，我方承诺在收到中选通知书后，在中选通知书规定的期限内，根据比选文件、我方的报价文件及有关澄清承诺书的要求按第五章“合同条款及格式”与采购人订立书面合同，并按照合同约定承担完成合同的责任和义务。</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7.我方已详细审核比选文件，我方知道必须放弃提出含糊不清或误解问题的权利。</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8.我方同意应贵方要求提供与本报价有关的任何数据或资料。若贵方需要，我方愿意提供我方作出的一切承诺的证明材料。</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9.我方完全理解贵方不一定接受报价最低的报价人为中选供应商的行为。</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10.我方如有下列情形之一的，自愿接受处以采购金额千分之五以上千分之十以下的违约金，列入不良行为记录名单，在一至三年内禁止参加贵司采购活动：</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（1）提供虚假材料谋取成交的；</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（2）采取不正当手段诋毁、排挤其他供应商的；</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（3）与采购人、其他供应商恶意串通的；</w:t>
      </w:r>
    </w:p>
    <w:p>
      <w:pPr>
        <w:pStyle w:val="13"/>
        <w:tabs>
          <w:tab w:val="left" w:pos="11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（4）向采购人行贿或者提供其他不正当利益的； </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（5）拒绝有关部门监督检查或提供虚假情况的；</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（6）通过故意减配压低价格入围，造成用户安装后无法正常使用的。</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11.我方及由本人担任法定代表人的其他机构最近三年内被通报或者被处罚的违法行为有：</w:t>
      </w:r>
    </w:p>
    <w:p>
      <w:pPr>
        <w:pStyle w:val="13"/>
        <w:spacing w:line="560" w:lineRule="exact"/>
        <w:rPr>
          <w:rFonts w:ascii="Times New Roman" w:hAnsi="Times New Roman" w:eastAsia="仿宋_GB2312"/>
          <w:sz w:val="32"/>
          <w:szCs w:val="32"/>
        </w:rPr>
      </w:pPr>
      <w:r>
        <w:rPr>
          <w:rFonts w:ascii="Times New Roman" w:hAnsi="Times New Roman" w:eastAsia="仿宋_GB2312"/>
          <w:sz w:val="32"/>
          <w:szCs w:val="32"/>
          <w:u w:val="single"/>
        </w:rPr>
        <w:t>________________________________________________________________________________</w:t>
      </w:r>
      <w:r>
        <w:rPr>
          <w:rFonts w:ascii="Times New Roman" w:hAnsi="Times New Roman" w:eastAsia="仿宋_GB2312"/>
          <w:sz w:val="32"/>
          <w:szCs w:val="32"/>
        </w:rPr>
        <w:t>。</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12.以上事项如有虚假或隐瞒，我方愿意承担一切后果，并不再寻求任何旨在减轻或免除法律责任的辩解。</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投标人：</w:t>
      </w:r>
      <w:r>
        <w:rPr>
          <w:rFonts w:ascii="Times New Roman" w:hAnsi="Times New Roman" w:eastAsia="仿宋_GB2312"/>
          <w:sz w:val="32"/>
          <w:szCs w:val="32"/>
          <w:u w:val="single"/>
        </w:rPr>
        <w:t xml:space="preserve">                               </w:t>
      </w:r>
      <w:r>
        <w:rPr>
          <w:rFonts w:ascii="Times New Roman" w:hAnsi="Times New Roman" w:eastAsia="仿宋_GB2312"/>
          <w:sz w:val="32"/>
          <w:szCs w:val="32"/>
        </w:rPr>
        <w:t>（盖单位公章）</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法定代表人或其委托代理人：</w:t>
      </w:r>
      <w:r>
        <w:rPr>
          <w:rFonts w:ascii="Times New Roman" w:hAnsi="Times New Roman" w:eastAsia="仿宋_GB2312"/>
          <w:sz w:val="32"/>
          <w:szCs w:val="32"/>
          <w:u w:val="single"/>
        </w:rPr>
        <w:t xml:space="preserve">             </w:t>
      </w:r>
      <w:r>
        <w:rPr>
          <w:rFonts w:ascii="Times New Roman" w:hAnsi="Times New Roman" w:eastAsia="仿宋_GB2312"/>
          <w:sz w:val="32"/>
          <w:szCs w:val="32"/>
        </w:rPr>
        <w:t>（签字或盖章）</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电话：</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传真：</w:t>
      </w:r>
      <w:r>
        <w:rPr>
          <w:rFonts w:ascii="Times New Roman" w:hAnsi="Times New Roman" w:eastAsia="仿宋_GB2312"/>
          <w:sz w:val="32"/>
          <w:szCs w:val="32"/>
          <w:u w:val="single"/>
        </w:rPr>
        <w:t>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开户名称：</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开户银行：</w:t>
      </w:r>
      <w:r>
        <w:rPr>
          <w:rFonts w:ascii="Times New Roman" w:hAnsi="Times New Roman" w:eastAsia="仿宋_GB2312"/>
          <w:sz w:val="32"/>
          <w:szCs w:val="32"/>
          <w:u w:val="single"/>
        </w:rPr>
        <w:t xml:space="preserve">                                                    </w:t>
      </w:r>
    </w:p>
    <w:p>
      <w:pPr>
        <w:pStyle w:val="13"/>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银行账号：</w:t>
      </w:r>
      <w:r>
        <w:rPr>
          <w:rFonts w:ascii="Times New Roman" w:hAnsi="Times New Roman" w:eastAsia="仿宋_GB2312"/>
          <w:sz w:val="32"/>
          <w:szCs w:val="32"/>
          <w:u w:val="single"/>
        </w:rPr>
        <w:t xml:space="preserve">                                                    </w:t>
      </w:r>
    </w:p>
    <w:p>
      <w:pPr>
        <w:pStyle w:val="13"/>
        <w:spacing w:line="560" w:lineRule="exact"/>
        <w:ind w:firstLine="5120" w:firstLineChars="1600"/>
        <w:rPr>
          <w:rFonts w:ascii="Times New Roman" w:hAnsi="Times New Roman"/>
          <w:u w:val="single"/>
        </w:rPr>
      </w:pPr>
      <w:r>
        <w:rPr>
          <w:rFonts w:ascii="Times New Roman" w:hAnsi="Times New Roman" w:eastAsia="仿宋_GB2312"/>
          <w:bCs/>
          <w:sz w:val="32"/>
          <w:szCs w:val="32"/>
          <w:u w:val="single"/>
        </w:rPr>
        <w:t xml:space="preserve">   2025 </w:t>
      </w:r>
      <w:r>
        <w:rPr>
          <w:rFonts w:ascii="Times New Roman" w:hAnsi="Times New Roman" w:eastAsia="仿宋_GB2312"/>
          <w:bCs/>
          <w:sz w:val="32"/>
          <w:szCs w:val="32"/>
        </w:rPr>
        <w:t>年</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月</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日</w:t>
      </w:r>
      <w:r>
        <w:rPr>
          <w:rFonts w:ascii="Times New Roman" w:hAnsi="Times New Roman" w:eastAsia="黑体"/>
          <w:b/>
          <w:bCs/>
        </w:rPr>
        <w:br w:type="page"/>
      </w:r>
      <w:r>
        <w:rPr>
          <w:rFonts w:hint="eastAsia" w:ascii="黑体" w:hAnsi="黑体" w:eastAsia="黑体"/>
          <w:bCs/>
          <w:sz w:val="32"/>
          <w:szCs w:val="28"/>
        </w:rPr>
        <w:t>格式2：</w:t>
      </w:r>
    </w:p>
    <w:p>
      <w:pPr>
        <w:pStyle w:val="13"/>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报价表（格式）</w:t>
      </w:r>
    </w:p>
    <w:p>
      <w:pPr>
        <w:pStyle w:val="13"/>
        <w:rPr>
          <w:rFonts w:ascii="Times New Roman" w:hAnsi="Times New Roman"/>
          <w:sz w:val="24"/>
          <w:szCs w:val="24"/>
        </w:rPr>
      </w:pPr>
    </w:p>
    <w:tbl>
      <w:tblPr>
        <w:tblStyle w:val="2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95"/>
        <w:gridCol w:w="2268"/>
        <w:gridCol w:w="992"/>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3" w:hRule="atLeast"/>
        </w:trPr>
        <w:tc>
          <w:tcPr>
            <w:tcW w:w="732" w:type="dxa"/>
            <w:vAlign w:val="center"/>
          </w:tcPr>
          <w:p>
            <w:pPr>
              <w:pStyle w:val="13"/>
              <w:jc w:val="center"/>
              <w:rPr>
                <w:rFonts w:ascii="Times New Roman" w:hAnsi="Times New Roman" w:eastAsia="楷体_GB2312"/>
                <w:spacing w:val="-20"/>
                <w:sz w:val="24"/>
                <w:szCs w:val="24"/>
              </w:rPr>
            </w:pPr>
            <w:r>
              <w:rPr>
                <w:rFonts w:ascii="Times New Roman" w:hAnsi="Times New Roman" w:eastAsia="楷体_GB2312"/>
                <w:spacing w:val="-20"/>
                <w:sz w:val="24"/>
                <w:szCs w:val="24"/>
              </w:rPr>
              <w:t>序号</w:t>
            </w:r>
          </w:p>
        </w:tc>
        <w:tc>
          <w:tcPr>
            <w:tcW w:w="2495" w:type="dxa"/>
            <w:vAlign w:val="center"/>
          </w:tcPr>
          <w:p>
            <w:pPr>
              <w:pStyle w:val="13"/>
              <w:jc w:val="center"/>
              <w:rPr>
                <w:rFonts w:ascii="Times New Roman" w:hAnsi="Times New Roman" w:eastAsia="楷体_GB2312"/>
                <w:spacing w:val="-20"/>
                <w:sz w:val="24"/>
                <w:szCs w:val="24"/>
              </w:rPr>
            </w:pPr>
            <w:r>
              <w:rPr>
                <w:rFonts w:ascii="Times New Roman" w:hAnsi="Times New Roman" w:eastAsia="楷体_GB2312"/>
                <w:spacing w:val="-20"/>
                <w:sz w:val="24"/>
                <w:szCs w:val="24"/>
              </w:rPr>
              <w:t>设备名称</w:t>
            </w:r>
          </w:p>
        </w:tc>
        <w:tc>
          <w:tcPr>
            <w:tcW w:w="2268" w:type="dxa"/>
            <w:vAlign w:val="center"/>
          </w:tcPr>
          <w:p>
            <w:pPr>
              <w:pStyle w:val="13"/>
              <w:jc w:val="center"/>
              <w:rPr>
                <w:rFonts w:ascii="Times New Roman" w:hAnsi="Times New Roman" w:eastAsia="楷体_GB2312"/>
                <w:spacing w:val="-20"/>
                <w:sz w:val="24"/>
                <w:szCs w:val="24"/>
              </w:rPr>
            </w:pPr>
            <w:r>
              <w:rPr>
                <w:rFonts w:ascii="Times New Roman" w:hAnsi="Times New Roman" w:eastAsia="楷体_GB2312"/>
                <w:spacing w:val="-20"/>
                <w:sz w:val="24"/>
                <w:szCs w:val="24"/>
              </w:rPr>
              <w:t>型号</w:t>
            </w:r>
          </w:p>
        </w:tc>
        <w:tc>
          <w:tcPr>
            <w:tcW w:w="992" w:type="dxa"/>
            <w:vAlign w:val="center"/>
          </w:tcPr>
          <w:p>
            <w:pPr>
              <w:pStyle w:val="13"/>
              <w:jc w:val="center"/>
              <w:rPr>
                <w:rFonts w:ascii="Times New Roman" w:hAnsi="Times New Roman" w:eastAsia="楷体_GB2312"/>
                <w:sz w:val="24"/>
                <w:szCs w:val="24"/>
              </w:rPr>
            </w:pPr>
            <w:r>
              <w:rPr>
                <w:rFonts w:ascii="Times New Roman" w:hAnsi="Times New Roman" w:eastAsia="楷体_GB2312"/>
                <w:spacing w:val="-20"/>
                <w:sz w:val="24"/>
                <w:szCs w:val="24"/>
              </w:rPr>
              <w:t>数量</w:t>
            </w:r>
          </w:p>
        </w:tc>
        <w:tc>
          <w:tcPr>
            <w:tcW w:w="1843"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报价总额</w:t>
            </w:r>
          </w:p>
          <w:p>
            <w:pPr>
              <w:pStyle w:val="13"/>
              <w:jc w:val="center"/>
              <w:rPr>
                <w:rFonts w:ascii="Times New Roman" w:hAnsi="Times New Roman" w:eastAsia="楷体_GB2312"/>
                <w:sz w:val="24"/>
                <w:szCs w:val="24"/>
              </w:rPr>
            </w:pPr>
            <w:r>
              <w:rPr>
                <w:rFonts w:ascii="Times New Roman" w:hAnsi="Times New Roman" w:eastAsia="楷体_GB2312"/>
                <w:sz w:val="24"/>
                <w:szCs w:val="24"/>
              </w:rPr>
              <w:t>（万元）</w:t>
            </w:r>
          </w:p>
        </w:tc>
        <w:tc>
          <w:tcPr>
            <w:tcW w:w="1559"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1</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2</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3</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4</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732" w:type="dxa"/>
            <w:vAlign w:val="center"/>
          </w:tcPr>
          <w:p>
            <w:pPr>
              <w:pStyle w:val="13"/>
              <w:jc w:val="center"/>
              <w:rPr>
                <w:rFonts w:ascii="Times New Roman" w:hAnsi="Times New Roman" w:eastAsia="楷体_GB2312"/>
                <w:sz w:val="24"/>
                <w:szCs w:val="24"/>
              </w:rPr>
            </w:pPr>
            <w:r>
              <w:rPr>
                <w:rFonts w:ascii="Times New Roman" w:hAnsi="Times New Roman" w:eastAsia="楷体_GB2312"/>
                <w:sz w:val="24"/>
                <w:szCs w:val="24"/>
              </w:rPr>
              <w:t>5</w:t>
            </w:r>
          </w:p>
        </w:tc>
        <w:tc>
          <w:tcPr>
            <w:tcW w:w="2495" w:type="dxa"/>
            <w:vAlign w:val="center"/>
          </w:tcPr>
          <w:p>
            <w:pPr>
              <w:pStyle w:val="13"/>
              <w:jc w:val="center"/>
              <w:rPr>
                <w:rFonts w:ascii="Times New Roman" w:hAnsi="Times New Roman" w:eastAsia="楷体_GB2312"/>
                <w:sz w:val="24"/>
                <w:szCs w:val="24"/>
              </w:rPr>
            </w:pPr>
          </w:p>
        </w:tc>
        <w:tc>
          <w:tcPr>
            <w:tcW w:w="2268" w:type="dxa"/>
            <w:vAlign w:val="center"/>
          </w:tcPr>
          <w:p>
            <w:pPr>
              <w:pStyle w:val="13"/>
              <w:jc w:val="center"/>
              <w:rPr>
                <w:rFonts w:ascii="Times New Roman" w:hAnsi="Times New Roman" w:eastAsia="楷体_GB2312"/>
                <w:sz w:val="24"/>
                <w:szCs w:val="24"/>
              </w:rPr>
            </w:pPr>
          </w:p>
        </w:tc>
        <w:tc>
          <w:tcPr>
            <w:tcW w:w="992" w:type="dxa"/>
            <w:vAlign w:val="center"/>
          </w:tcPr>
          <w:p>
            <w:pPr>
              <w:pStyle w:val="13"/>
              <w:rPr>
                <w:rFonts w:ascii="Times New Roman" w:hAnsi="Times New Roman" w:eastAsia="楷体_GB2312"/>
                <w:sz w:val="24"/>
                <w:szCs w:val="24"/>
              </w:rPr>
            </w:pPr>
          </w:p>
        </w:tc>
        <w:tc>
          <w:tcPr>
            <w:tcW w:w="1843" w:type="dxa"/>
            <w:vAlign w:val="center"/>
          </w:tcPr>
          <w:p>
            <w:pPr>
              <w:pStyle w:val="13"/>
              <w:rPr>
                <w:rFonts w:ascii="Times New Roman" w:hAnsi="Times New Roman" w:eastAsia="楷体_GB2312"/>
                <w:spacing w:val="-6"/>
                <w:sz w:val="24"/>
                <w:szCs w:val="24"/>
              </w:rPr>
            </w:pPr>
          </w:p>
        </w:tc>
        <w:tc>
          <w:tcPr>
            <w:tcW w:w="1559" w:type="dxa"/>
            <w:vAlign w:val="center"/>
          </w:tcPr>
          <w:p>
            <w:pPr>
              <w:pStyle w:val="13"/>
              <w:rPr>
                <w:rFonts w:ascii="Times New Roman" w:hAnsi="Times New Roman" w:eastAsia="楷体_GB2312"/>
                <w:spacing w:val="-6"/>
                <w:sz w:val="24"/>
                <w:szCs w:val="24"/>
              </w:rPr>
            </w:pPr>
          </w:p>
        </w:tc>
      </w:tr>
    </w:tbl>
    <w:p>
      <w:pPr>
        <w:pStyle w:val="13"/>
        <w:rPr>
          <w:rFonts w:ascii="Times New Roman" w:hAnsi="Times New Roman"/>
          <w:sz w:val="24"/>
          <w:szCs w:val="24"/>
        </w:rPr>
      </w:pPr>
    </w:p>
    <w:p>
      <w:pPr>
        <w:pStyle w:val="13"/>
        <w:rPr>
          <w:rFonts w:ascii="仿宋_GB2312" w:hAnsi="Times New Roman" w:eastAsia="仿宋_GB2312"/>
          <w:sz w:val="32"/>
          <w:szCs w:val="32"/>
        </w:rPr>
      </w:pPr>
      <w:r>
        <w:rPr>
          <w:rFonts w:hint="eastAsia" w:ascii="仿宋_GB2312" w:hAnsi="Times New Roman" w:eastAsia="仿宋_GB2312"/>
          <w:sz w:val="32"/>
          <w:szCs w:val="32"/>
        </w:rPr>
        <w:t>报价依据：</w:t>
      </w:r>
    </w:p>
    <w:p>
      <w:pPr>
        <w:pStyle w:val="13"/>
        <w:rPr>
          <w:rFonts w:ascii="仿宋_GB2312" w:hAnsi="Times New Roman" w:eastAsia="仿宋_GB2312"/>
          <w:sz w:val="32"/>
          <w:szCs w:val="32"/>
        </w:rPr>
      </w:pPr>
      <w:r>
        <w:rPr>
          <w:rFonts w:hint="eastAsia" w:ascii="仿宋_GB2312" w:hAnsi="Times New Roman" w:eastAsia="仿宋_GB2312"/>
          <w:sz w:val="32"/>
          <w:szCs w:val="32"/>
        </w:rPr>
        <w:t>附注：报价包含服务的价格、必要的保险费用和各项税金；包括其他如人员、设备、耗材、差旅费、杂费和管理费、培训、技术支持、咨询等全部服务产生的费用。</w:t>
      </w:r>
    </w:p>
    <w:p>
      <w:pPr>
        <w:pStyle w:val="13"/>
        <w:rPr>
          <w:rFonts w:ascii="仿宋_GB2312" w:hAnsi="Times New Roman" w:eastAsia="仿宋_GB2312"/>
          <w:sz w:val="32"/>
          <w:szCs w:val="32"/>
        </w:rPr>
      </w:pPr>
    </w:p>
    <w:p>
      <w:pPr>
        <w:pStyle w:val="13"/>
        <w:rPr>
          <w:rFonts w:ascii="仿宋_GB2312" w:hAnsi="Times New Roman" w:eastAsia="仿宋_GB2312"/>
          <w:sz w:val="32"/>
          <w:szCs w:val="32"/>
        </w:rPr>
      </w:pPr>
    </w:p>
    <w:p>
      <w:pPr>
        <w:pStyle w:val="13"/>
        <w:spacing w:line="600" w:lineRule="exact"/>
        <w:ind w:right="1280" w:firstLine="2560" w:firstLineChars="800"/>
        <w:rPr>
          <w:rFonts w:ascii="仿宋_GB2312" w:hAnsi="Times New Roman" w:eastAsia="仿宋_GB2312"/>
          <w:sz w:val="32"/>
          <w:szCs w:val="32"/>
          <w:u w:val="single"/>
        </w:rPr>
      </w:pPr>
      <w:r>
        <w:rPr>
          <w:rFonts w:hint="eastAsia" w:ascii="仿宋_GB2312" w:hAnsi="Times New Roman" w:eastAsia="仿宋_GB2312"/>
          <w:sz w:val="32"/>
          <w:szCs w:val="32"/>
        </w:rPr>
        <w:t>供应商（盖单位公章）：</w:t>
      </w:r>
      <w:r>
        <w:rPr>
          <w:rFonts w:hint="eastAsia" w:ascii="仿宋_GB2312" w:hAnsi="Times New Roman" w:eastAsia="仿宋_GB2312"/>
          <w:sz w:val="32"/>
          <w:szCs w:val="32"/>
          <w:u w:val="single"/>
        </w:rPr>
        <w:t xml:space="preserve">                                    </w:t>
      </w:r>
    </w:p>
    <w:p>
      <w:pPr>
        <w:pStyle w:val="13"/>
        <w:spacing w:line="600" w:lineRule="exact"/>
        <w:jc w:val="right"/>
        <w:rPr>
          <w:rFonts w:ascii="仿宋_GB2312" w:hAnsi="Times New Roman" w:eastAsia="仿宋_GB2312"/>
          <w:sz w:val="32"/>
          <w:szCs w:val="32"/>
          <w:u w:val="single"/>
        </w:rPr>
      </w:pPr>
    </w:p>
    <w:p>
      <w:pPr>
        <w:pStyle w:val="13"/>
        <w:spacing w:line="500" w:lineRule="exact"/>
        <w:jc w:val="right"/>
        <w:rPr>
          <w:rFonts w:ascii="Times New Roman" w:hAnsi="Times New Roman"/>
          <w:sz w:val="24"/>
          <w:szCs w:val="24"/>
          <w:u w:val="single"/>
        </w:rPr>
      </w:pPr>
      <w:r>
        <w:rPr>
          <w:rFonts w:hint="eastAsia" w:ascii="仿宋_GB2312" w:hAnsi="Times New Roman" w:eastAsia="仿宋_GB2312"/>
          <w:sz w:val="32"/>
          <w:szCs w:val="32"/>
        </w:rPr>
        <w:t xml:space="preserve"> 法定代表人或其委托代理人（签字或盖章）：</w:t>
      </w:r>
      <w:r>
        <w:rPr>
          <w:rFonts w:hint="eastAsia" w:ascii="仿宋_GB2312" w:hAnsi="Times New Roman" w:eastAsia="仿宋_GB2312"/>
          <w:sz w:val="32"/>
          <w:szCs w:val="32"/>
          <w:u w:val="single"/>
        </w:rPr>
        <w:t xml:space="preserve">         </w:t>
      </w:r>
      <w:r>
        <w:rPr>
          <w:rFonts w:hint="eastAsia" w:ascii="Times New Roman" w:hAnsi="Times New Roman"/>
          <w:sz w:val="24"/>
          <w:szCs w:val="24"/>
          <w:u w:val="single"/>
        </w:rPr>
        <w:t xml:space="preserve">         </w:t>
      </w:r>
    </w:p>
    <w:p>
      <w:pPr>
        <w:pStyle w:val="13"/>
        <w:spacing w:line="500" w:lineRule="exact"/>
        <w:rPr>
          <w:rFonts w:ascii="Times New Roman" w:hAnsi="Times New Roman"/>
          <w:sz w:val="24"/>
          <w:szCs w:val="24"/>
          <w:u w:val="single"/>
        </w:rPr>
      </w:pPr>
    </w:p>
    <w:p>
      <w:pPr>
        <w:pStyle w:val="13"/>
        <w:spacing w:line="500" w:lineRule="exact"/>
        <w:rPr>
          <w:rFonts w:ascii="Times New Roman" w:hAnsi="Times New Roman"/>
          <w:sz w:val="24"/>
          <w:szCs w:val="24"/>
          <w:u w:val="single"/>
        </w:rPr>
      </w:pPr>
    </w:p>
    <w:p>
      <w:pPr>
        <w:pStyle w:val="13"/>
        <w:spacing w:line="500" w:lineRule="exact"/>
        <w:rPr>
          <w:rFonts w:hint="eastAsia" w:ascii="黑体" w:hAnsi="黑体" w:eastAsia="黑体"/>
          <w:bCs/>
          <w:sz w:val="32"/>
          <w:szCs w:val="32"/>
          <w:u w:val="single"/>
        </w:rPr>
      </w:pPr>
      <w:r>
        <w:rPr>
          <w:rFonts w:ascii="Times New Roman" w:hAnsi="Times New Roman"/>
          <w:u w:val="single"/>
        </w:rPr>
        <w:br w:type="page"/>
      </w:r>
      <w:r>
        <w:rPr>
          <w:rFonts w:hint="eastAsia" w:ascii="黑体" w:hAnsi="黑体" w:eastAsia="黑体"/>
          <w:bCs/>
          <w:sz w:val="32"/>
          <w:szCs w:val="32"/>
        </w:rPr>
        <w:t>格式3：</w:t>
      </w:r>
    </w:p>
    <w:p>
      <w:pPr>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声明书（格式）</w:t>
      </w:r>
    </w:p>
    <w:p>
      <w:pPr>
        <w:spacing w:line="520" w:lineRule="exact"/>
        <w:rPr>
          <w:rFonts w:eastAsia="仿宋_GB2312"/>
          <w:sz w:val="32"/>
          <w:szCs w:val="32"/>
        </w:rPr>
      </w:pPr>
      <w:r>
        <w:rPr>
          <w:rFonts w:eastAsia="仿宋_GB2312"/>
          <w:sz w:val="32"/>
          <w:szCs w:val="32"/>
        </w:rPr>
        <w:t>致：广西双钱健康产业股份有限公司：</w:t>
      </w:r>
    </w:p>
    <w:p>
      <w:pPr>
        <w:spacing w:line="520" w:lineRule="exact"/>
        <w:ind w:firstLine="960" w:firstLineChars="300"/>
        <w:rPr>
          <w:rFonts w:eastAsia="仿宋_GB2312"/>
          <w:sz w:val="32"/>
          <w:szCs w:val="32"/>
        </w:rPr>
      </w:pPr>
      <w:r>
        <w:rPr>
          <w:rFonts w:eastAsia="仿宋_GB2312"/>
          <w:sz w:val="32"/>
          <w:szCs w:val="32"/>
          <w:u w:val="single"/>
        </w:rPr>
        <w:t xml:space="preserve">                   </w:t>
      </w:r>
      <w:r>
        <w:rPr>
          <w:rFonts w:eastAsia="仿宋_GB2312"/>
          <w:sz w:val="32"/>
          <w:szCs w:val="32"/>
        </w:rPr>
        <w:t>（供应商名称）系中华人民共和国合法企业，经营地址</w:t>
      </w:r>
      <w:r>
        <w:rPr>
          <w:rFonts w:eastAsia="仿宋_GB2312"/>
          <w:sz w:val="32"/>
          <w:szCs w:val="32"/>
          <w:u w:val="single"/>
        </w:rPr>
        <w:t xml:space="preserve">                               </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我</w:t>
      </w:r>
      <w:r>
        <w:rPr>
          <w:rFonts w:eastAsia="仿宋_GB2312"/>
          <w:sz w:val="32"/>
          <w:szCs w:val="32"/>
          <w:u w:val="single"/>
        </w:rPr>
        <w:t xml:space="preserve">           </w:t>
      </w:r>
      <w:r>
        <w:rPr>
          <w:rFonts w:eastAsia="仿宋_GB2312"/>
          <w:sz w:val="32"/>
          <w:szCs w:val="32"/>
        </w:rPr>
        <w:t>（姓名）系</w:t>
      </w:r>
      <w:r>
        <w:rPr>
          <w:rFonts w:eastAsia="仿宋_GB2312"/>
          <w:sz w:val="32"/>
          <w:szCs w:val="32"/>
          <w:u w:val="single"/>
        </w:rPr>
        <w:t xml:space="preserve">                    </w:t>
      </w:r>
      <w:r>
        <w:rPr>
          <w:rFonts w:eastAsia="仿宋_GB2312"/>
          <w:sz w:val="32"/>
          <w:szCs w:val="32"/>
        </w:rPr>
        <w:t>（报价人名称）的法定代表人，我方愿意参加贵方组织的</w:t>
      </w:r>
      <w:r>
        <w:rPr>
          <w:rFonts w:eastAsia="仿宋_GB2312"/>
          <w:sz w:val="32"/>
          <w:szCs w:val="32"/>
          <w:u w:val="single"/>
        </w:rPr>
        <w:t xml:space="preserve">                      </w:t>
      </w:r>
      <w:r>
        <w:rPr>
          <w:rFonts w:eastAsia="仿宋_GB2312"/>
          <w:sz w:val="32"/>
          <w:szCs w:val="32"/>
        </w:rPr>
        <w:t>项目的报价，为便于贵方公正、择优地确定中选人及其报价产品和服务，我方就本次报价有关事项郑重声明如下：</w:t>
      </w:r>
    </w:p>
    <w:p>
      <w:pPr>
        <w:spacing w:line="520" w:lineRule="exact"/>
        <w:ind w:firstLine="640" w:firstLineChars="200"/>
        <w:rPr>
          <w:rFonts w:eastAsia="仿宋_GB2312"/>
          <w:sz w:val="32"/>
          <w:szCs w:val="32"/>
        </w:rPr>
      </w:pPr>
      <w:r>
        <w:rPr>
          <w:rFonts w:eastAsia="仿宋_GB2312"/>
          <w:sz w:val="32"/>
          <w:szCs w:val="32"/>
        </w:rPr>
        <w:t>1.我方向贵方提交的所有报价文件、资料都是准确的和真实的。</w:t>
      </w:r>
    </w:p>
    <w:p>
      <w:pPr>
        <w:spacing w:line="520" w:lineRule="exact"/>
        <w:ind w:firstLine="640" w:firstLineChars="200"/>
        <w:rPr>
          <w:rFonts w:eastAsia="仿宋_GB2312"/>
          <w:sz w:val="32"/>
          <w:szCs w:val="32"/>
        </w:rPr>
      </w:pPr>
      <w:r>
        <w:rPr>
          <w:rFonts w:eastAsia="仿宋_GB2312"/>
          <w:sz w:val="32"/>
          <w:szCs w:val="32"/>
        </w:rPr>
        <w:t>2.我方不是采购人的附属机构；在获知本项目采购信息后，与采购人聘请的为此项目提供咨询服务的公司及其附属机构没有任何联系。</w:t>
      </w:r>
    </w:p>
    <w:p>
      <w:pPr>
        <w:spacing w:line="520" w:lineRule="exact"/>
        <w:ind w:firstLine="640" w:firstLineChars="200"/>
        <w:rPr>
          <w:rFonts w:eastAsia="仿宋_GB2312"/>
          <w:sz w:val="32"/>
          <w:szCs w:val="32"/>
        </w:rPr>
      </w:pPr>
      <w:r>
        <w:rPr>
          <w:rFonts w:eastAsia="仿宋_GB2312"/>
          <w:sz w:val="32"/>
          <w:szCs w:val="32"/>
        </w:rPr>
        <w:t>3.我方此次向贵方提供的服务名称为：</w:t>
      </w:r>
      <w:r>
        <w:rPr>
          <w:rFonts w:eastAsia="仿宋_GB2312"/>
          <w:sz w:val="32"/>
          <w:szCs w:val="32"/>
          <w:u w:val="single"/>
        </w:rPr>
        <w:t xml:space="preserve">                 </w:t>
      </w:r>
      <w:r>
        <w:rPr>
          <w:rFonts w:eastAsia="仿宋_GB2312"/>
          <w:sz w:val="32"/>
          <w:szCs w:val="32"/>
        </w:rPr>
        <w:t>；该服务由我方人员提供。</w:t>
      </w:r>
    </w:p>
    <w:p>
      <w:pPr>
        <w:spacing w:line="520" w:lineRule="exact"/>
        <w:ind w:firstLine="640" w:firstLineChars="200"/>
        <w:rPr>
          <w:rFonts w:eastAsia="仿宋_GB2312"/>
          <w:sz w:val="32"/>
          <w:szCs w:val="32"/>
        </w:rPr>
      </w:pPr>
      <w:r>
        <w:rPr>
          <w:rFonts w:eastAsia="仿宋_GB2312"/>
          <w:sz w:val="32"/>
          <w:szCs w:val="32"/>
        </w:rPr>
        <w:t>4.我方诚意提请贵方关注：近期有关该服务的重大决策和事项有：</w:t>
      </w:r>
    </w:p>
    <w:p>
      <w:pPr>
        <w:pStyle w:val="11"/>
        <w:spacing w:line="520" w:lineRule="exact"/>
        <w:ind w:firstLine="624" w:firstLineChars="200"/>
        <w:rPr>
          <w:rFonts w:ascii="Times New Roman" w:hAnsi="Times New Roman" w:eastAsia="仿宋_GB2312"/>
          <w:sz w:val="32"/>
          <w:szCs w:val="32"/>
          <w:u w:val="single"/>
        </w:rPr>
      </w:pPr>
      <w:r>
        <w:rPr>
          <w:rFonts w:ascii="Times New Roman" w:hAnsi="Times New Roman" w:eastAsia="仿宋_GB2312"/>
          <w:sz w:val="32"/>
          <w:szCs w:val="32"/>
        </w:rPr>
        <w:t>5.以上事项如有虚假或隐瞒，我方愿意承担一切后果，并不再寻求任何旨在减轻或免除法律责任的辩解。</w:t>
      </w:r>
    </w:p>
    <w:p>
      <w:pPr>
        <w:spacing w:line="520" w:lineRule="exact"/>
        <w:rPr>
          <w:rFonts w:eastAsia="仿宋_GB2312"/>
          <w:sz w:val="32"/>
          <w:szCs w:val="32"/>
        </w:rPr>
      </w:pPr>
    </w:p>
    <w:p>
      <w:pPr>
        <w:spacing w:line="520" w:lineRule="exact"/>
        <w:ind w:firstLine="5120" w:firstLineChars="1600"/>
        <w:rPr>
          <w:rFonts w:eastAsia="仿宋_GB2312"/>
          <w:sz w:val="32"/>
          <w:szCs w:val="32"/>
          <w:u w:val="single"/>
        </w:rPr>
      </w:pPr>
      <w:r>
        <w:rPr>
          <w:rFonts w:eastAsia="仿宋_GB2312"/>
          <w:sz w:val="32"/>
          <w:szCs w:val="32"/>
        </w:rPr>
        <w:t>法定代表人签字：</w:t>
      </w:r>
    </w:p>
    <w:p>
      <w:pPr>
        <w:spacing w:line="520" w:lineRule="exact"/>
        <w:ind w:firstLine="5120" w:firstLineChars="1600"/>
        <w:rPr>
          <w:rFonts w:eastAsia="仿宋_GB2312"/>
          <w:sz w:val="32"/>
          <w:szCs w:val="32"/>
        </w:rPr>
      </w:pPr>
      <w:r>
        <w:rPr>
          <w:rFonts w:eastAsia="仿宋_GB2312"/>
          <w:sz w:val="32"/>
          <w:szCs w:val="32"/>
        </w:rPr>
        <w:t>公章：</w:t>
      </w:r>
    </w:p>
    <w:p>
      <w:pPr>
        <w:spacing w:line="520" w:lineRule="exact"/>
        <w:ind w:firstLine="5120" w:firstLineChars="1600"/>
        <w:rPr>
          <w:rFonts w:eastAsia="仿宋_GB2312"/>
          <w:sz w:val="32"/>
          <w:szCs w:val="32"/>
        </w:rPr>
      </w:pPr>
      <w:r>
        <w:rPr>
          <w:rFonts w:eastAsia="仿宋_GB2312"/>
          <w:sz w:val="32"/>
          <w:szCs w:val="32"/>
        </w:rPr>
        <w:t>2025年    月    日</w:t>
      </w:r>
    </w:p>
    <w:p>
      <w:pPr>
        <w:pStyle w:val="13"/>
        <w:spacing w:line="560" w:lineRule="exact"/>
        <w:rPr>
          <w:rFonts w:hint="eastAsia" w:ascii="黑体" w:hAnsi="黑体" w:eastAsia="黑体"/>
          <w:bCs/>
          <w:sz w:val="32"/>
          <w:szCs w:val="32"/>
        </w:rPr>
      </w:pPr>
      <w:r>
        <w:rPr>
          <w:rFonts w:ascii="Times New Roman" w:hAnsi="Times New Roman" w:eastAsia="仿宋_GB2312"/>
          <w:sz w:val="32"/>
          <w:szCs w:val="32"/>
        </w:rPr>
        <w:br w:type="page"/>
      </w:r>
      <w:r>
        <w:rPr>
          <w:rFonts w:hint="eastAsia" w:ascii="黑体" w:hAnsi="黑体" w:eastAsia="黑体"/>
          <w:bCs/>
          <w:sz w:val="32"/>
          <w:szCs w:val="32"/>
        </w:rPr>
        <w:t>格式4：</w:t>
      </w:r>
    </w:p>
    <w:p>
      <w:pPr>
        <w:pStyle w:val="13"/>
        <w:spacing w:line="5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服务承诺书（格式）</w:t>
      </w:r>
    </w:p>
    <w:p>
      <w:pPr>
        <w:pStyle w:val="13"/>
        <w:jc w:val="center"/>
        <w:rPr>
          <w:rFonts w:ascii="Times New Roman" w:hAnsi="Times New Roman"/>
        </w:rPr>
      </w:pPr>
    </w:p>
    <w:p>
      <w:pPr>
        <w:pStyle w:val="13"/>
        <w:jc w:val="center"/>
        <w:rPr>
          <w:rFonts w:ascii="仿宋_GB2312" w:hAnsi="Times New Roman" w:eastAsia="仿宋_GB2312"/>
          <w:sz w:val="32"/>
          <w:szCs w:val="32"/>
        </w:rPr>
      </w:pPr>
      <w:r>
        <w:rPr>
          <w:rFonts w:hint="eastAsia" w:ascii="仿宋_GB2312" w:hAnsi="Times New Roman" w:eastAsia="仿宋_GB2312"/>
          <w:sz w:val="32"/>
          <w:szCs w:val="32"/>
        </w:rPr>
        <w:t>（由报价人按本项目比选方案文件第二章“采购需求”自行填写。）</w:t>
      </w: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spacing w:line="560" w:lineRule="exact"/>
        <w:ind w:right="1280"/>
        <w:rPr>
          <w:rFonts w:ascii="Times New Roman" w:hAnsi="Times New Roman"/>
          <w:sz w:val="24"/>
          <w:szCs w:val="24"/>
        </w:rPr>
      </w:pPr>
    </w:p>
    <w:p>
      <w:pPr>
        <w:pStyle w:val="13"/>
        <w:spacing w:line="560" w:lineRule="exact"/>
        <w:ind w:right="1280" w:firstLine="2880" w:firstLineChars="900"/>
        <w:jc w:val="left"/>
        <w:rPr>
          <w:rFonts w:ascii="仿宋_GB2312" w:hAnsi="Times New Roman" w:eastAsia="仿宋_GB2312"/>
          <w:sz w:val="32"/>
          <w:szCs w:val="32"/>
          <w:u w:val="single"/>
        </w:rPr>
      </w:pPr>
      <w:r>
        <w:rPr>
          <w:rFonts w:hint="eastAsia" w:ascii="仿宋_GB2312" w:hAnsi="Times New Roman" w:eastAsia="仿宋_GB2312"/>
          <w:sz w:val="32"/>
          <w:szCs w:val="32"/>
        </w:rPr>
        <w:t>供应商（盖单位公章）：</w:t>
      </w:r>
      <w:r>
        <w:rPr>
          <w:rFonts w:hint="eastAsia" w:ascii="仿宋_GB2312" w:hAnsi="Times New Roman" w:eastAsia="仿宋_GB2312"/>
          <w:sz w:val="32"/>
          <w:szCs w:val="32"/>
          <w:u w:val="single"/>
        </w:rPr>
        <w:t xml:space="preserve"> </w:t>
      </w:r>
    </w:p>
    <w:p>
      <w:pPr>
        <w:pStyle w:val="13"/>
        <w:spacing w:line="560" w:lineRule="exact"/>
        <w:ind w:right="1280" w:firstLine="3200" w:firstLineChars="1000"/>
        <w:jc w:val="left"/>
        <w:rPr>
          <w:rFonts w:ascii="仿宋_GB2312" w:hAnsi="Times New Roman" w:eastAsia="仿宋_GB2312"/>
          <w:sz w:val="32"/>
          <w:szCs w:val="32"/>
          <w:u w:val="single"/>
        </w:rPr>
      </w:pPr>
      <w:r>
        <w:rPr>
          <w:rFonts w:hint="eastAsia" w:ascii="仿宋_GB2312" w:hAnsi="Times New Roman" w:eastAsia="仿宋_GB2312"/>
          <w:sz w:val="32"/>
          <w:szCs w:val="32"/>
          <w:u w:val="single"/>
        </w:rPr>
        <w:t xml:space="preserve">                                   </w:t>
      </w:r>
    </w:p>
    <w:p>
      <w:pPr>
        <w:pStyle w:val="13"/>
        <w:spacing w:line="560" w:lineRule="exact"/>
        <w:jc w:val="left"/>
        <w:rPr>
          <w:rFonts w:ascii="仿宋_GB2312" w:hAnsi="Times New Roman" w:eastAsia="仿宋_GB2312"/>
          <w:sz w:val="32"/>
          <w:szCs w:val="32"/>
          <w:u w:val="single"/>
        </w:rPr>
      </w:pPr>
      <w:r>
        <w:rPr>
          <w:rFonts w:hint="eastAsia" w:ascii="仿宋_GB2312" w:hAnsi="Times New Roman" w:eastAsia="仿宋_GB2312"/>
          <w:sz w:val="32"/>
          <w:szCs w:val="32"/>
        </w:rPr>
        <w:t xml:space="preserve">                  法定代表人或其委托代理人（签字或盖章）：</w:t>
      </w:r>
      <w:r>
        <w:rPr>
          <w:rFonts w:hint="eastAsia" w:ascii="仿宋_GB2312" w:hAnsi="Times New Roman" w:eastAsia="仿宋_GB2312"/>
          <w:sz w:val="32"/>
          <w:szCs w:val="32"/>
          <w:u w:val="single"/>
        </w:rPr>
        <w:t xml:space="preserve">                  </w:t>
      </w:r>
    </w:p>
    <w:p>
      <w:pPr>
        <w:pStyle w:val="13"/>
        <w:spacing w:line="560" w:lineRule="exact"/>
        <w:jc w:val="left"/>
        <w:rPr>
          <w:rFonts w:hint="eastAsia" w:ascii="黑体" w:hAnsi="黑体" w:eastAsia="黑体"/>
          <w:bCs/>
        </w:rPr>
      </w:pPr>
      <w:r>
        <w:rPr>
          <w:rFonts w:hint="eastAsia" w:ascii="仿宋_GB2312" w:hAnsi="Times New Roman" w:eastAsia="仿宋_GB2312"/>
          <w:b/>
          <w:bCs/>
          <w:sz w:val="32"/>
          <w:szCs w:val="32"/>
        </w:rPr>
        <w:br w:type="page"/>
      </w:r>
      <w:r>
        <w:rPr>
          <w:rFonts w:hint="eastAsia" w:ascii="黑体" w:hAnsi="黑体" w:eastAsia="黑体"/>
          <w:bCs/>
          <w:sz w:val="32"/>
          <w:szCs w:val="28"/>
        </w:rPr>
        <w:t>格式5：</w:t>
      </w:r>
    </w:p>
    <w:p>
      <w:pPr>
        <w:spacing w:before="331" w:beforeLines="100" w:after="165" w:afterLines="50"/>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法定代表人身份证明书（格式）</w:t>
      </w:r>
    </w:p>
    <w:p>
      <w:pPr>
        <w:spacing w:line="560" w:lineRule="exact"/>
        <w:ind w:firstLine="560" w:firstLineChars="200"/>
        <w:rPr>
          <w:rFonts w:eastAsia="仿宋_GB2312"/>
          <w:sz w:val="28"/>
          <w:szCs w:val="28"/>
        </w:rPr>
      </w:pPr>
      <w:r>
        <w:rPr>
          <w:rFonts w:eastAsia="仿宋_GB2312"/>
          <w:sz w:val="28"/>
          <w:szCs w:val="28"/>
        </w:rPr>
        <w:t>供应商：</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单位性质：</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地    址：</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成立时间：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spacing w:line="560" w:lineRule="exact"/>
        <w:ind w:firstLine="560" w:firstLineChars="200"/>
        <w:rPr>
          <w:rFonts w:eastAsia="仿宋_GB2312"/>
          <w:sz w:val="28"/>
          <w:szCs w:val="28"/>
        </w:rPr>
      </w:pPr>
      <w:r>
        <w:rPr>
          <w:rFonts w:eastAsia="仿宋_GB2312"/>
          <w:sz w:val="28"/>
          <w:szCs w:val="28"/>
        </w:rPr>
        <w:t>经营期限：</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姓    名：</w:t>
      </w:r>
      <w:r>
        <w:rPr>
          <w:rFonts w:eastAsia="仿宋_GB2312"/>
          <w:sz w:val="28"/>
          <w:szCs w:val="28"/>
          <w:u w:val="single"/>
        </w:rPr>
        <w:t xml:space="preserve">                          </w:t>
      </w:r>
      <w:r>
        <w:rPr>
          <w:rFonts w:eastAsia="仿宋_GB2312"/>
          <w:sz w:val="28"/>
          <w:szCs w:val="28"/>
        </w:rPr>
        <w:t>性</w:t>
      </w:r>
      <w:r>
        <w:rPr>
          <w:rFonts w:hint="eastAsia" w:eastAsia="仿宋_GB2312"/>
          <w:sz w:val="28"/>
          <w:szCs w:val="28"/>
        </w:rPr>
        <w:t xml:space="preserve">    </w:t>
      </w:r>
      <w:r>
        <w:rPr>
          <w:rFonts w:eastAsia="仿宋_GB2312"/>
          <w:sz w:val="28"/>
          <w:szCs w:val="28"/>
        </w:rPr>
        <w:t>别：</w:t>
      </w:r>
      <w:r>
        <w:rPr>
          <w:rFonts w:eastAsia="仿宋_GB2312"/>
          <w:sz w:val="28"/>
          <w:szCs w:val="28"/>
          <w:u w:val="single"/>
        </w:rPr>
        <w:t xml:space="preserve">                </w:t>
      </w:r>
    </w:p>
    <w:p>
      <w:pPr>
        <w:spacing w:line="560" w:lineRule="exact"/>
        <w:ind w:firstLine="560" w:firstLineChars="200"/>
        <w:rPr>
          <w:rFonts w:eastAsia="仿宋_GB2312"/>
          <w:sz w:val="28"/>
          <w:szCs w:val="28"/>
          <w:u w:val="single"/>
        </w:rPr>
      </w:pPr>
      <w:r>
        <w:rPr>
          <w:rFonts w:eastAsia="仿宋_GB2312"/>
          <w:sz w:val="28"/>
          <w:szCs w:val="28"/>
        </w:rPr>
        <w:t>年    龄：</w:t>
      </w:r>
      <w:r>
        <w:rPr>
          <w:rFonts w:eastAsia="仿宋_GB2312"/>
          <w:sz w:val="28"/>
          <w:szCs w:val="28"/>
          <w:u w:val="single"/>
        </w:rPr>
        <w:t xml:space="preserve">                          </w:t>
      </w:r>
      <w:r>
        <w:rPr>
          <w:rFonts w:eastAsia="仿宋_GB2312"/>
          <w:sz w:val="28"/>
          <w:szCs w:val="28"/>
        </w:rPr>
        <w:t>职</w:t>
      </w:r>
      <w:r>
        <w:rPr>
          <w:rFonts w:hint="eastAsia" w:eastAsia="仿宋_GB2312"/>
          <w:sz w:val="28"/>
          <w:szCs w:val="28"/>
        </w:rPr>
        <w:t xml:space="preserve">    </w:t>
      </w:r>
      <w:r>
        <w:rPr>
          <w:rFonts w:eastAsia="仿宋_GB2312"/>
          <w:sz w:val="28"/>
          <w:szCs w:val="28"/>
        </w:rPr>
        <w:t>务：</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身份证号码：</w:t>
      </w:r>
      <w:r>
        <w:rPr>
          <w:rFonts w:eastAsia="仿宋_GB2312"/>
          <w:sz w:val="28"/>
          <w:szCs w:val="28"/>
          <w:u w:val="single"/>
        </w:rPr>
        <w:t xml:space="preserve">                                 </w:t>
      </w:r>
    </w:p>
    <w:p>
      <w:pPr>
        <w:spacing w:line="560" w:lineRule="exact"/>
        <w:ind w:firstLine="560" w:firstLineChars="200"/>
        <w:rPr>
          <w:rFonts w:eastAsia="仿宋_GB2312"/>
          <w:sz w:val="28"/>
          <w:szCs w:val="28"/>
        </w:rPr>
      </w:pPr>
      <w:r>
        <w:rPr>
          <w:rFonts w:eastAsia="仿宋_GB2312"/>
          <w:sz w:val="28"/>
          <w:szCs w:val="28"/>
        </w:rPr>
        <w:t>系</w:t>
      </w:r>
      <w:r>
        <w:rPr>
          <w:rFonts w:eastAsia="仿宋_GB2312"/>
          <w:sz w:val="28"/>
          <w:szCs w:val="28"/>
          <w:u w:val="single"/>
        </w:rPr>
        <w:t xml:space="preserve">                                </w:t>
      </w:r>
      <w:r>
        <w:rPr>
          <w:rFonts w:eastAsia="仿宋_GB2312"/>
          <w:sz w:val="28"/>
          <w:szCs w:val="28"/>
        </w:rPr>
        <w:t>（供应商名称）的法定代表人。</w:t>
      </w:r>
    </w:p>
    <w:p>
      <w:pPr>
        <w:spacing w:line="560" w:lineRule="exact"/>
        <w:ind w:firstLine="560" w:firstLineChars="200"/>
        <w:rPr>
          <w:rFonts w:eastAsia="仿宋_GB2312"/>
          <w:sz w:val="28"/>
          <w:szCs w:val="28"/>
        </w:rPr>
      </w:pPr>
      <w:r>
        <w:rPr>
          <w:rFonts w:eastAsia="仿宋_GB2312"/>
          <w:sz w:val="28"/>
          <w:szCs w:val="28"/>
        </w:rPr>
        <w:t>特此证明。</w:t>
      </w: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r>
        <w:rPr>
          <w:rFonts w:eastAsia="仿宋_GB2312"/>
          <w:sz w:val="28"/>
          <w:szCs w:val="28"/>
        </w:rPr>
        <w:t>附件：法定代表人有效身份证正反面复印件</w:t>
      </w:r>
    </w:p>
    <w:p>
      <w:pPr>
        <w:spacing w:line="560" w:lineRule="exact"/>
        <w:ind w:firstLine="560" w:firstLineChars="200"/>
        <w:rPr>
          <w:rFonts w:eastAsia="仿宋_GB2312"/>
          <w:sz w:val="28"/>
          <w:szCs w:val="28"/>
        </w:rPr>
      </w:pPr>
    </w:p>
    <w:p>
      <w:pPr>
        <w:spacing w:line="560" w:lineRule="exact"/>
        <w:jc w:val="right"/>
        <w:rPr>
          <w:rFonts w:eastAsia="仿宋_GB2312"/>
          <w:sz w:val="28"/>
          <w:szCs w:val="28"/>
        </w:rPr>
      </w:pPr>
      <w:r>
        <w:rPr>
          <w:rFonts w:eastAsia="仿宋_GB2312"/>
          <w:sz w:val="28"/>
          <w:szCs w:val="28"/>
        </w:rPr>
        <w:t>投标人：</w:t>
      </w:r>
      <w:r>
        <w:rPr>
          <w:rFonts w:eastAsia="仿宋_GB2312"/>
          <w:sz w:val="28"/>
          <w:szCs w:val="28"/>
          <w:u w:val="single"/>
        </w:rPr>
        <w:t xml:space="preserve">                          </w:t>
      </w:r>
      <w:r>
        <w:rPr>
          <w:rFonts w:eastAsia="仿宋_GB2312"/>
          <w:sz w:val="28"/>
          <w:szCs w:val="28"/>
        </w:rPr>
        <w:t>（盖单位章）</w:t>
      </w:r>
    </w:p>
    <w:p>
      <w:pPr>
        <w:spacing w:line="560" w:lineRule="exact"/>
        <w:jc w:val="right"/>
        <w:rPr>
          <w:rFonts w:eastAsia="仿宋_GB2312"/>
          <w:sz w:val="28"/>
          <w:szCs w:val="28"/>
        </w:rPr>
      </w:pPr>
    </w:p>
    <w:p>
      <w:pPr>
        <w:pStyle w:val="13"/>
        <w:spacing w:line="560" w:lineRule="exact"/>
        <w:jc w:val="right"/>
        <w:rPr>
          <w:rFonts w:ascii="Times New Roman" w:hAnsi="Times New Roman" w:eastAsia="仿宋_GB2312"/>
          <w:b/>
          <w:sz w:val="22"/>
          <w:szCs w:val="21"/>
        </w:rPr>
      </w:pPr>
      <w:r>
        <w:rPr>
          <w:rFonts w:hint="eastAsia" w:ascii="Times New Roman" w:hAnsi="Times New Roman" w:eastAsia="仿宋_GB2312"/>
          <w:sz w:val="28"/>
          <w:szCs w:val="21"/>
          <w:u w:val="single"/>
        </w:rPr>
        <w:t xml:space="preserve"> </w:t>
      </w:r>
      <w:r>
        <w:rPr>
          <w:rFonts w:ascii="Times New Roman" w:hAnsi="Times New Roman" w:eastAsia="仿宋_GB2312"/>
          <w:sz w:val="28"/>
          <w:szCs w:val="21"/>
          <w:u w:val="single"/>
        </w:rPr>
        <w:t xml:space="preserve">  2025  </w:t>
      </w:r>
      <w:r>
        <w:rPr>
          <w:rFonts w:ascii="Times New Roman" w:hAnsi="Times New Roman" w:eastAsia="仿宋_GB2312"/>
          <w:sz w:val="28"/>
          <w:szCs w:val="21"/>
        </w:rPr>
        <w:t>年</w:t>
      </w:r>
      <w:r>
        <w:rPr>
          <w:rFonts w:ascii="Times New Roman" w:hAnsi="Times New Roman" w:eastAsia="仿宋_GB2312"/>
          <w:sz w:val="28"/>
          <w:szCs w:val="21"/>
          <w:u w:val="single"/>
        </w:rPr>
        <w:t xml:space="preserve">      </w:t>
      </w:r>
      <w:r>
        <w:rPr>
          <w:rFonts w:ascii="Times New Roman" w:hAnsi="Times New Roman" w:eastAsia="仿宋_GB2312"/>
          <w:sz w:val="28"/>
          <w:szCs w:val="21"/>
        </w:rPr>
        <w:t>月</w:t>
      </w:r>
      <w:r>
        <w:rPr>
          <w:rFonts w:ascii="Times New Roman" w:hAnsi="Times New Roman" w:eastAsia="仿宋_GB2312"/>
          <w:sz w:val="28"/>
          <w:szCs w:val="21"/>
          <w:u w:val="single"/>
        </w:rPr>
        <w:t xml:space="preserve">      </w:t>
      </w:r>
      <w:r>
        <w:rPr>
          <w:rFonts w:ascii="Times New Roman" w:hAnsi="Times New Roman" w:eastAsia="仿宋_GB2312"/>
          <w:sz w:val="28"/>
          <w:szCs w:val="21"/>
        </w:rPr>
        <w:t>日</w:t>
      </w:r>
    </w:p>
    <w:p>
      <w:pPr>
        <w:pStyle w:val="13"/>
        <w:spacing w:line="600" w:lineRule="exact"/>
        <w:jc w:val="right"/>
        <w:rPr>
          <w:rFonts w:ascii="Times New Roman" w:hAnsi="Times New Roman"/>
          <w:b/>
        </w:rPr>
      </w:pPr>
    </w:p>
    <w:p>
      <w:pPr>
        <w:pStyle w:val="13"/>
        <w:spacing w:line="600" w:lineRule="exact"/>
        <w:rPr>
          <w:rFonts w:ascii="Times New Roman" w:hAnsi="Times New Roman"/>
        </w:rPr>
      </w:pPr>
    </w:p>
    <w:p>
      <w:pPr>
        <w:pStyle w:val="13"/>
        <w:spacing w:line="500" w:lineRule="exact"/>
        <w:rPr>
          <w:rFonts w:hint="eastAsia" w:ascii="黑体" w:hAnsi="黑体" w:eastAsia="黑体"/>
          <w:sz w:val="32"/>
          <w:szCs w:val="32"/>
        </w:rPr>
      </w:pPr>
    </w:p>
    <w:p>
      <w:pPr>
        <w:pStyle w:val="13"/>
        <w:spacing w:line="500" w:lineRule="exact"/>
        <w:rPr>
          <w:rFonts w:hint="eastAsia" w:ascii="黑体" w:hAnsi="黑体" w:eastAsia="黑体"/>
          <w:sz w:val="32"/>
          <w:szCs w:val="32"/>
        </w:rPr>
      </w:pPr>
      <w:r>
        <w:rPr>
          <w:rFonts w:hint="eastAsia" w:ascii="黑体" w:hAnsi="黑体" w:eastAsia="黑体"/>
          <w:sz w:val="32"/>
          <w:szCs w:val="32"/>
        </w:rPr>
        <w:t>格式6：</w:t>
      </w:r>
    </w:p>
    <w:p>
      <w:pPr>
        <w:pStyle w:val="13"/>
        <w:spacing w:line="50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法定代表人授权委托书（格式）</w:t>
      </w:r>
    </w:p>
    <w:p>
      <w:pPr>
        <w:pStyle w:val="13"/>
        <w:spacing w:line="500" w:lineRule="exact"/>
        <w:ind w:firstLine="420" w:firstLineChars="200"/>
        <w:rPr>
          <w:rFonts w:ascii="Times New Roman" w:hAnsi="Times New Roman"/>
          <w:u w:val="single"/>
        </w:rPr>
      </w:pPr>
    </w:p>
    <w:p>
      <w:pPr>
        <w:pStyle w:val="13"/>
        <w:spacing w:line="560" w:lineRule="exact"/>
        <w:rPr>
          <w:rFonts w:ascii="仿宋_GB2312" w:hAnsi="Times New Roman" w:eastAsia="仿宋_GB2312"/>
          <w:sz w:val="28"/>
          <w:szCs w:val="28"/>
        </w:rPr>
      </w:pPr>
      <w:r>
        <w:rPr>
          <w:rFonts w:hint="eastAsia" w:ascii="仿宋_GB2312" w:hAnsi="Times New Roman" w:eastAsia="仿宋_GB2312"/>
          <w:sz w:val="28"/>
          <w:szCs w:val="28"/>
        </w:rPr>
        <w:t>致：广西双钱健康产业股份有限公司</w:t>
      </w:r>
    </w:p>
    <w:p>
      <w:pPr>
        <w:pStyle w:val="1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本人</w:t>
      </w:r>
      <w:r>
        <w:rPr>
          <w:rFonts w:hint="eastAsia" w:ascii="仿宋_GB2312" w:hAnsi="Times New Roman" w:eastAsia="仿宋_GB2312"/>
          <w:sz w:val="28"/>
          <w:szCs w:val="28"/>
          <w:u w:val="single"/>
        </w:rPr>
        <w:t xml:space="preserve">    （姓名）    </w:t>
      </w:r>
      <w:r>
        <w:rPr>
          <w:rFonts w:hint="eastAsia" w:ascii="仿宋_GB2312" w:hAnsi="Times New Roman" w:eastAsia="仿宋_GB2312"/>
          <w:sz w:val="28"/>
          <w:szCs w:val="28"/>
        </w:rPr>
        <w:t>系</w:t>
      </w:r>
      <w:r>
        <w:rPr>
          <w:rFonts w:hint="eastAsia" w:ascii="仿宋_GB2312" w:hAnsi="Times New Roman" w:eastAsia="仿宋_GB2312"/>
          <w:sz w:val="28"/>
          <w:szCs w:val="28"/>
          <w:u w:val="single"/>
        </w:rPr>
        <w:t xml:space="preserve">     （单位名称）     </w:t>
      </w:r>
      <w:r>
        <w:rPr>
          <w:rFonts w:hint="eastAsia" w:ascii="仿宋_GB2312" w:hAnsi="Times New Roman" w:eastAsia="仿宋_GB2312"/>
          <w:sz w:val="28"/>
          <w:szCs w:val="28"/>
        </w:rPr>
        <w:t>的法定代表人，现授权我单位在职正式员工</w:t>
      </w:r>
      <w:r>
        <w:rPr>
          <w:rFonts w:hint="eastAsia" w:ascii="仿宋_GB2312" w:hAnsi="Times New Roman" w:eastAsia="仿宋_GB2312"/>
          <w:sz w:val="28"/>
          <w:szCs w:val="28"/>
          <w:u w:val="single"/>
        </w:rPr>
        <w:t xml:space="preserve">    （姓名和职务）    </w:t>
      </w:r>
      <w:r>
        <w:rPr>
          <w:rFonts w:hint="eastAsia" w:ascii="仿宋_GB2312" w:hAnsi="Times New Roman" w:eastAsia="仿宋_GB2312"/>
          <w:sz w:val="28"/>
          <w:szCs w:val="28"/>
        </w:rPr>
        <w:t>为我方代理人。代理人根据授权，以我方名义签署、澄清、说明、补正、递交、撤回、修改贵方组织的</w:t>
      </w:r>
      <w:r>
        <w:rPr>
          <w:rFonts w:hint="eastAsia" w:ascii="仿宋_GB2312" w:hAnsi="Times New Roman" w:eastAsia="仿宋_GB2312"/>
          <w:sz w:val="28"/>
          <w:szCs w:val="28"/>
          <w:u w:val="single"/>
        </w:rPr>
        <w:t xml:space="preserve">   （项目名称）     </w:t>
      </w:r>
      <w:r>
        <w:rPr>
          <w:rFonts w:hint="eastAsia" w:ascii="仿宋_GB2312" w:hAnsi="Times New Roman" w:eastAsia="仿宋_GB2312"/>
          <w:sz w:val="28"/>
          <w:szCs w:val="28"/>
        </w:rPr>
        <w:t>项目的文件、签订合同和处理一切有关事宜，其法律后果由我方承担。</w:t>
      </w:r>
    </w:p>
    <w:p>
      <w:pPr>
        <w:pStyle w:val="1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本授权书于</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年</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日签字生效，委托期限：</w:t>
      </w:r>
      <w:r>
        <w:rPr>
          <w:rFonts w:hint="eastAsia" w:ascii="仿宋_GB2312" w:hAnsi="Times New Roman" w:eastAsia="仿宋_GB2312"/>
          <w:spacing w:val="10"/>
          <w:sz w:val="28"/>
          <w:szCs w:val="28"/>
          <w:u w:val="single"/>
        </w:rPr>
        <w:t xml:space="preserve">    </w:t>
      </w:r>
      <w:r>
        <w:rPr>
          <w:rFonts w:hint="eastAsia" w:ascii="仿宋_GB2312" w:hAnsi="Times New Roman" w:eastAsia="仿宋_GB2312"/>
          <w:sz w:val="28"/>
          <w:szCs w:val="28"/>
        </w:rPr>
        <w:t>。</w:t>
      </w:r>
    </w:p>
    <w:p>
      <w:pPr>
        <w:pStyle w:val="1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代理人无转委托权。</w:t>
      </w:r>
    </w:p>
    <w:p>
      <w:pPr>
        <w:pStyle w:val="13"/>
        <w:spacing w:line="560" w:lineRule="exact"/>
        <w:ind w:firstLine="560" w:firstLineChars="200"/>
        <w:rPr>
          <w:rFonts w:ascii="仿宋_GB2312" w:hAnsi="Times New Roman" w:eastAsia="仿宋_GB2312"/>
          <w:sz w:val="28"/>
          <w:szCs w:val="28"/>
        </w:rPr>
      </w:pPr>
    </w:p>
    <w:p>
      <w:pPr>
        <w:pStyle w:val="13"/>
        <w:spacing w:line="560" w:lineRule="exact"/>
        <w:ind w:right="1680" w:firstLine="3360" w:firstLineChars="1200"/>
        <w:jc w:val="right"/>
        <w:rPr>
          <w:rFonts w:ascii="仿宋_GB2312" w:hAnsi="Times New Roman" w:eastAsia="仿宋_GB2312"/>
          <w:sz w:val="28"/>
          <w:szCs w:val="28"/>
          <w:u w:val="single"/>
        </w:rPr>
      </w:pPr>
      <w:r>
        <w:rPr>
          <w:rFonts w:hint="eastAsia" w:ascii="仿宋_GB2312" w:hAnsi="Times New Roman" w:eastAsia="仿宋_GB2312"/>
          <w:sz w:val="28"/>
          <w:szCs w:val="28"/>
        </w:rPr>
        <w:t>供应商（盖单位公章）：</w:t>
      </w:r>
    </w:p>
    <w:p>
      <w:pPr>
        <w:pStyle w:val="13"/>
        <w:spacing w:line="560" w:lineRule="exact"/>
        <w:ind w:right="1120" w:firstLine="3360" w:firstLineChars="1200"/>
        <w:jc w:val="right"/>
        <w:rPr>
          <w:rFonts w:ascii="仿宋_GB2312" w:hAnsi="Times New Roman" w:eastAsia="仿宋_GB2312"/>
          <w:sz w:val="28"/>
          <w:szCs w:val="28"/>
          <w:u w:val="single"/>
        </w:rPr>
      </w:pPr>
      <w:r>
        <w:rPr>
          <w:rFonts w:hint="eastAsia" w:ascii="仿宋_GB2312" w:hAnsi="Times New Roman" w:eastAsia="仿宋_GB2312"/>
          <w:sz w:val="28"/>
          <w:szCs w:val="28"/>
        </w:rPr>
        <w:t>法定代表人（签字或盖章）：</w:t>
      </w:r>
    </w:p>
    <w:p>
      <w:pPr>
        <w:pStyle w:val="13"/>
        <w:spacing w:line="560" w:lineRule="exact"/>
        <w:ind w:right="1680" w:firstLine="3360" w:firstLineChars="1200"/>
        <w:jc w:val="right"/>
        <w:rPr>
          <w:rFonts w:ascii="仿宋_GB2312" w:hAnsi="Times New Roman" w:eastAsia="仿宋_GB2312"/>
          <w:sz w:val="28"/>
          <w:szCs w:val="28"/>
          <w:u w:val="single"/>
        </w:rPr>
      </w:pPr>
      <w:r>
        <w:rPr>
          <w:rFonts w:hint="eastAsia" w:ascii="仿宋_GB2312" w:hAnsi="Times New Roman" w:eastAsia="仿宋_GB2312"/>
          <w:sz w:val="28"/>
          <w:szCs w:val="28"/>
        </w:rPr>
        <w:t>法定代表人身份证号码：</w:t>
      </w:r>
      <w:r>
        <w:rPr>
          <w:rFonts w:hint="eastAsia" w:ascii="仿宋_GB2312" w:hAnsi="Times New Roman" w:eastAsia="仿宋_GB2312"/>
          <w:sz w:val="28"/>
          <w:szCs w:val="28"/>
          <w:u w:val="single"/>
        </w:rPr>
        <w:t xml:space="preserve"> </w:t>
      </w:r>
    </w:p>
    <w:p>
      <w:pPr>
        <w:pStyle w:val="13"/>
        <w:spacing w:line="560" w:lineRule="exact"/>
        <w:ind w:right="1120" w:firstLine="3360" w:firstLineChars="1200"/>
        <w:jc w:val="right"/>
        <w:rPr>
          <w:rFonts w:ascii="仿宋_GB2312" w:hAnsi="Times New Roman" w:eastAsia="仿宋_GB2312"/>
          <w:sz w:val="28"/>
          <w:szCs w:val="28"/>
        </w:rPr>
      </w:pPr>
      <w:r>
        <w:rPr>
          <w:rFonts w:hint="eastAsia" w:ascii="仿宋_GB2312" w:hAnsi="Times New Roman" w:eastAsia="仿宋_GB2312"/>
          <w:sz w:val="28"/>
          <w:szCs w:val="28"/>
        </w:rPr>
        <w:t>委托代理人（签字或盖章）：</w:t>
      </w:r>
    </w:p>
    <w:p>
      <w:pPr>
        <w:pStyle w:val="13"/>
        <w:spacing w:line="560" w:lineRule="exact"/>
        <w:ind w:right="1680" w:firstLine="560" w:firstLineChars="200"/>
        <w:jc w:val="right"/>
        <w:rPr>
          <w:rFonts w:ascii="Times New Roman" w:hAnsi="Times New Roman"/>
          <w:sz w:val="24"/>
          <w:szCs w:val="24"/>
          <w:u w:val="single"/>
        </w:rPr>
      </w:pPr>
      <w:r>
        <w:rPr>
          <w:rFonts w:hint="eastAsia" w:ascii="仿宋_GB2312" w:hAnsi="Times New Roman" w:eastAsia="仿宋_GB2312"/>
          <w:sz w:val="28"/>
          <w:szCs w:val="28"/>
        </w:rPr>
        <w:t xml:space="preserve">               委托代理人身份证号码：</w:t>
      </w:r>
      <w:r>
        <w:rPr>
          <w:rFonts w:hint="eastAsia" w:ascii="仿宋_GB2312" w:hAnsi="Times New Roman" w:eastAsia="仿宋_GB2312"/>
          <w:sz w:val="28"/>
          <w:szCs w:val="28"/>
          <w:u w:val="single"/>
        </w:rPr>
        <w:t xml:space="preserve"> </w:t>
      </w:r>
      <w:r>
        <w:rPr>
          <w:rFonts w:hint="eastAsia" w:ascii="Times New Roman" w:hAnsi="Times New Roman"/>
          <w:sz w:val="24"/>
          <w:szCs w:val="24"/>
          <w:u w:val="single"/>
        </w:rPr>
        <w:t xml:space="preserve"> </w:t>
      </w:r>
    </w:p>
    <w:p>
      <w:pPr>
        <w:pStyle w:val="13"/>
        <w:spacing w:line="360" w:lineRule="auto"/>
        <w:jc w:val="right"/>
        <w:rPr>
          <w:rFonts w:ascii="Times New Roman" w:hAnsi="Times New Roman"/>
          <w:sz w:val="24"/>
          <w:szCs w:val="24"/>
          <w:u w:val="single"/>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ascii="Times New Roman" w:hAnsi="Times New Roman"/>
        </w:rPr>
      </w:pPr>
    </w:p>
    <w:p>
      <w:pPr>
        <w:pStyle w:val="13"/>
        <w:spacing w:line="360" w:lineRule="auto"/>
        <w:rPr>
          <w:rFonts w:hint="eastAsia" w:ascii="黑体" w:hAnsi="黑体" w:eastAsia="黑体"/>
          <w:sz w:val="32"/>
          <w:szCs w:val="28"/>
        </w:rPr>
      </w:pPr>
      <w:r>
        <w:rPr>
          <w:rFonts w:hint="eastAsia" w:ascii="黑体" w:hAnsi="黑体" w:eastAsia="黑体"/>
          <w:sz w:val="32"/>
          <w:szCs w:val="28"/>
        </w:rPr>
        <w:t>格式7：</w:t>
      </w:r>
    </w:p>
    <w:p>
      <w:pPr>
        <w:pStyle w:val="13"/>
        <w:spacing w:line="36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比选</w:t>
      </w:r>
      <w:r>
        <w:rPr>
          <w:rFonts w:hint="eastAsia" w:ascii="方正小标宋简体" w:hAnsi="黑体" w:eastAsia="方正小标宋简体" w:cs="Arial"/>
          <w:sz w:val="44"/>
          <w:szCs w:val="44"/>
        </w:rPr>
        <w:t>邀请应邀函</w:t>
      </w:r>
    </w:p>
    <w:p>
      <w:pPr>
        <w:pStyle w:val="13"/>
        <w:spacing w:line="360" w:lineRule="auto"/>
        <w:rPr>
          <w:rFonts w:ascii="Times New Roman" w:hAnsi="Times New Roman" w:cs="Arial"/>
          <w:b/>
          <w:bCs/>
          <w:sz w:val="24"/>
          <w:szCs w:val="24"/>
        </w:rPr>
      </w:pPr>
    </w:p>
    <w:p>
      <w:pPr>
        <w:pStyle w:val="13"/>
        <w:spacing w:line="560" w:lineRule="exact"/>
        <w:rPr>
          <w:rFonts w:ascii="Times New Roman" w:hAnsi="Times New Roman" w:eastAsia="仿宋_GB2312"/>
          <w:sz w:val="32"/>
          <w:szCs w:val="32"/>
        </w:rPr>
      </w:pPr>
      <w:r>
        <w:rPr>
          <w:rFonts w:ascii="Times New Roman" w:hAnsi="Times New Roman" w:eastAsia="仿宋_GB2312"/>
          <w:sz w:val="32"/>
          <w:szCs w:val="32"/>
        </w:rPr>
        <w:t>广西双钱健康产业股份有限公司：</w:t>
      </w:r>
    </w:p>
    <w:p>
      <w:pPr>
        <w:spacing w:line="560" w:lineRule="exact"/>
        <w:ind w:firstLine="640" w:firstLineChars="200"/>
        <w:rPr>
          <w:rFonts w:eastAsia="仿宋_GB2312"/>
          <w:sz w:val="32"/>
          <w:szCs w:val="32"/>
        </w:rPr>
      </w:pPr>
      <w:r>
        <w:rPr>
          <w:rFonts w:eastAsia="仿宋_GB2312"/>
          <w:sz w:val="32"/>
          <w:szCs w:val="32"/>
        </w:rPr>
        <w:t>我单位收到贵公司发来的相关《</w:t>
      </w:r>
      <w:r>
        <w:rPr>
          <w:rFonts w:eastAsia="仿宋_GB2312"/>
          <w:bCs/>
          <w:sz w:val="32"/>
          <w:szCs w:val="32"/>
        </w:rPr>
        <w:t>小金碗高速灌封机</w:t>
      </w:r>
      <w:r>
        <w:rPr>
          <w:rFonts w:eastAsia="仿宋_GB2312"/>
          <w:sz w:val="32"/>
          <w:szCs w:val="32"/>
        </w:rPr>
        <w:t>采购 （编号：SQ-202502）项目比选方案》的比选邀请函，现作书面回复，愿意参加该项目的比选，并响应方案要求递交相关文件。</w:t>
      </w:r>
    </w:p>
    <w:p>
      <w:pPr>
        <w:pStyle w:val="13"/>
        <w:spacing w:line="560" w:lineRule="exact"/>
        <w:ind w:firstLine="640" w:firstLineChars="200"/>
        <w:rPr>
          <w:rFonts w:ascii="Times New Roman" w:hAnsi="Times New Roman" w:eastAsia="仿宋_GB2312"/>
          <w:sz w:val="32"/>
          <w:szCs w:val="32"/>
        </w:rPr>
      </w:pPr>
    </w:p>
    <w:p>
      <w:pPr>
        <w:pStyle w:val="13"/>
        <w:spacing w:line="560" w:lineRule="exact"/>
        <w:rPr>
          <w:rFonts w:ascii="Times New Roman" w:hAnsi="Times New Roman" w:eastAsia="仿宋_GB2312"/>
          <w:sz w:val="32"/>
          <w:szCs w:val="32"/>
        </w:rPr>
      </w:pPr>
    </w:p>
    <w:p>
      <w:pPr>
        <w:pStyle w:val="13"/>
        <w:spacing w:line="560" w:lineRule="exact"/>
        <w:ind w:right="1280" w:firstLine="4160" w:firstLineChars="1300"/>
        <w:rPr>
          <w:rFonts w:ascii="Times New Roman" w:hAnsi="Times New Roman" w:eastAsia="仿宋_GB2312"/>
          <w:sz w:val="32"/>
          <w:szCs w:val="32"/>
        </w:rPr>
      </w:pPr>
      <w:r>
        <w:rPr>
          <w:rFonts w:ascii="Times New Roman" w:hAnsi="Times New Roman" w:eastAsia="仿宋_GB2312"/>
          <w:sz w:val="32"/>
          <w:szCs w:val="32"/>
        </w:rPr>
        <w:t>应邀单位：</w:t>
      </w:r>
    </w:p>
    <w:p>
      <w:pPr>
        <w:pStyle w:val="13"/>
        <w:spacing w:line="560" w:lineRule="exact"/>
        <w:ind w:left="4750" w:leftChars="1500" w:right="1280" w:hanging="1600" w:hangingChars="5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应邀单位联系人：</w:t>
      </w:r>
    </w:p>
    <w:p>
      <w:pPr>
        <w:pStyle w:val="13"/>
        <w:spacing w:line="560" w:lineRule="exact"/>
        <w:ind w:right="2560" w:firstLine="4160" w:firstLineChars="1300"/>
        <w:rPr>
          <w:rFonts w:ascii="Times New Roman" w:hAnsi="Times New Roman" w:eastAsia="仿宋_GB2312"/>
          <w:sz w:val="32"/>
          <w:szCs w:val="32"/>
        </w:rPr>
      </w:pPr>
      <w:r>
        <w:rPr>
          <w:rFonts w:ascii="Times New Roman" w:hAnsi="Times New Roman" w:eastAsia="仿宋_GB2312"/>
          <w:sz w:val="32"/>
          <w:szCs w:val="32"/>
        </w:rPr>
        <w:t>联系人电话：</w:t>
      </w:r>
    </w:p>
    <w:p>
      <w:pPr>
        <w:pStyle w:val="13"/>
        <w:spacing w:line="560" w:lineRule="exact"/>
        <w:ind w:right="1280" w:firstLine="4160" w:firstLineChars="1300"/>
        <w:rPr>
          <w:rFonts w:ascii="Times New Roman" w:hAnsi="Times New Roman" w:eastAsia="仿宋_GB2312"/>
          <w:sz w:val="32"/>
          <w:szCs w:val="32"/>
        </w:rPr>
      </w:pPr>
      <w:r>
        <w:rPr>
          <w:rFonts w:ascii="Times New Roman" w:hAnsi="Times New Roman" w:eastAsia="仿宋_GB2312"/>
          <w:sz w:val="32"/>
          <w:szCs w:val="32"/>
        </w:rPr>
        <w:t>应邀日期：</w:t>
      </w:r>
      <w:bookmarkStart w:id="134" w:name="_Toc213325925"/>
      <w:bookmarkStart w:id="135" w:name="_Toc213206176"/>
      <w:r>
        <w:rPr>
          <w:rFonts w:ascii="Times New Roman" w:hAnsi="Times New Roman" w:eastAsia="仿宋_GB2312"/>
          <w:sz w:val="32"/>
          <w:szCs w:val="32"/>
        </w:rPr>
        <w:t>2025年  月   日</w:t>
      </w: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ind w:firstLine="5880" w:firstLineChars="2800"/>
        <w:rPr>
          <w:rFonts w:ascii="Times New Roman" w:hAnsi="Times New Roman"/>
        </w:rPr>
      </w:pPr>
    </w:p>
    <w:p>
      <w:pPr>
        <w:pStyle w:val="13"/>
        <w:spacing w:line="360" w:lineRule="auto"/>
        <w:rPr>
          <w:rFonts w:ascii="Times New Roman" w:hAnsi="Times New Roman"/>
        </w:rPr>
      </w:pPr>
    </w:p>
    <w:p>
      <w:pPr>
        <w:pStyle w:val="13"/>
        <w:spacing w:line="560" w:lineRule="exact"/>
        <w:jc w:val="center"/>
        <w:outlineLvl w:val="0"/>
        <w:rPr>
          <w:rFonts w:ascii="方正小标宋简体" w:hAnsi="Times New Roman" w:eastAsia="方正小标宋简体"/>
          <w:bCs/>
          <w:sz w:val="44"/>
          <w:szCs w:val="44"/>
        </w:rPr>
      </w:pPr>
      <w:bookmarkStart w:id="136" w:name="_Toc519678421"/>
      <w:r>
        <w:rPr>
          <w:rFonts w:hint="eastAsia" w:ascii="方正小标宋简体" w:hAnsi="Times New Roman" w:eastAsia="方正小标宋简体"/>
          <w:bCs/>
          <w:sz w:val="44"/>
          <w:szCs w:val="44"/>
        </w:rPr>
        <w:t>第五章  合同条款及格式</w:t>
      </w:r>
      <w:bookmarkEnd w:id="132"/>
      <w:bookmarkEnd w:id="133"/>
      <w:bookmarkEnd w:id="134"/>
      <w:bookmarkEnd w:id="135"/>
      <w:bookmarkEnd w:id="136"/>
    </w:p>
    <w:p>
      <w:pPr>
        <w:pStyle w:val="13"/>
        <w:spacing w:line="560" w:lineRule="exact"/>
        <w:jc w:val="center"/>
        <w:outlineLvl w:val="0"/>
        <w:rPr>
          <w:rFonts w:ascii="方正小标宋简体" w:hAnsi="Times New Roman" w:eastAsia="方正小标宋简体"/>
          <w:bCs/>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小金碗高速灌封机采购合同（格式）</w:t>
      </w:r>
    </w:p>
    <w:p>
      <w:pPr>
        <w:spacing w:line="560" w:lineRule="exact"/>
        <w:rPr>
          <w:sz w:val="24"/>
        </w:rPr>
      </w:pP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买方（以下简称甲方）：广西双钱健康产业股份有限公司</w:t>
      </w:r>
      <w:r>
        <w:rPr>
          <w:rFonts w:hint="eastAsia" w:ascii="仿宋_GB2312" w:eastAsia="仿宋_GB2312"/>
          <w:b/>
          <w:sz w:val="32"/>
          <w:szCs w:val="32"/>
          <w:u w:val="single"/>
        </w:rPr>
        <w:t xml:space="preserve">                  </w:t>
      </w:r>
      <w:r>
        <w:rPr>
          <w:rFonts w:hint="eastAsia" w:ascii="仿宋_GB2312" w:eastAsia="仿宋_GB2312"/>
          <w:b/>
          <w:sz w:val="32"/>
          <w:szCs w:val="32"/>
        </w:rPr>
        <w:t xml:space="preserve"> </w:t>
      </w:r>
      <w:r>
        <w:rPr>
          <w:rFonts w:hint="eastAsia" w:ascii="仿宋_GB2312" w:eastAsia="仿宋_GB2312"/>
          <w:b/>
          <w:sz w:val="32"/>
          <w:szCs w:val="32"/>
          <w:u w:val="single"/>
        </w:rPr>
        <w:t xml:space="preserve">            </w:t>
      </w:r>
    </w:p>
    <w:p>
      <w:pPr>
        <w:spacing w:line="560" w:lineRule="exact"/>
        <w:ind w:firstLine="643" w:firstLineChars="200"/>
        <w:rPr>
          <w:rFonts w:eastAsia="仿宋_GB2312"/>
          <w:b/>
          <w:sz w:val="32"/>
          <w:szCs w:val="32"/>
        </w:rPr>
      </w:pPr>
      <w:r>
        <w:rPr>
          <w:rFonts w:hint="eastAsia" w:ascii="仿宋_GB2312" w:eastAsia="仿宋_GB2312"/>
          <w:b/>
          <w:sz w:val="32"/>
          <w:szCs w:val="32"/>
        </w:rPr>
        <w:t>卖方</w:t>
      </w:r>
      <w:r>
        <w:rPr>
          <w:rFonts w:eastAsia="仿宋_GB2312"/>
          <w:b/>
          <w:sz w:val="32"/>
          <w:szCs w:val="32"/>
        </w:rPr>
        <w:t>（以下简称乙方）：</w:t>
      </w:r>
      <w:r>
        <w:rPr>
          <w:rFonts w:eastAsia="仿宋_GB2312"/>
          <w:snapToGrid w:val="0"/>
          <w:kern w:val="0"/>
          <w:sz w:val="32"/>
          <w:szCs w:val="32"/>
          <w:u w:val="single"/>
        </w:rPr>
        <w:t xml:space="preserve">                                </w:t>
      </w:r>
      <w:r>
        <w:rPr>
          <w:rFonts w:eastAsia="仿宋_GB2312"/>
          <w:b/>
          <w:sz w:val="32"/>
          <w:szCs w:val="32"/>
          <w:u w:val="single"/>
        </w:rPr>
        <w:t xml:space="preserve">         </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甲方通过</w:t>
      </w:r>
      <w:r>
        <w:rPr>
          <w:rFonts w:ascii="Times New Roman" w:hAnsi="Times New Roman" w:eastAsia="仿宋_GB2312"/>
          <w:sz w:val="32"/>
          <w:szCs w:val="32"/>
          <w:u w:val="single"/>
        </w:rPr>
        <w:t>比选采购</w:t>
      </w:r>
      <w:r>
        <w:rPr>
          <w:rFonts w:ascii="Times New Roman" w:hAnsi="Times New Roman" w:eastAsia="仿宋_GB2312"/>
          <w:sz w:val="32"/>
          <w:szCs w:val="32"/>
        </w:rPr>
        <w:t>方式确定乙方作为</w:t>
      </w:r>
      <w:r>
        <w:rPr>
          <w:rFonts w:ascii="Times New Roman" w:hAnsi="Times New Roman" w:eastAsia="仿宋_GB2312"/>
          <w:sz w:val="32"/>
          <w:szCs w:val="32"/>
          <w:u w:val="single"/>
        </w:rPr>
        <w:t>小金碗高速灌封机采购项目</w:t>
      </w:r>
      <w:r>
        <w:rPr>
          <w:rFonts w:ascii="Times New Roman" w:hAnsi="Times New Roman" w:eastAsia="仿宋_GB2312"/>
          <w:sz w:val="32"/>
          <w:szCs w:val="32"/>
        </w:rPr>
        <w:t>（编号：</w:t>
      </w:r>
      <w:r>
        <w:rPr>
          <w:rFonts w:ascii="Times New Roman" w:hAnsi="Times New Roman" w:eastAsia="仿宋_GB2312"/>
          <w:sz w:val="32"/>
          <w:szCs w:val="32"/>
          <w:u w:val="single"/>
        </w:rPr>
        <w:t>SQ-202502</w:t>
      </w:r>
      <w:r>
        <w:rPr>
          <w:rFonts w:ascii="Times New Roman" w:hAnsi="Times New Roman" w:eastAsia="仿宋_GB2312"/>
          <w:sz w:val="32"/>
          <w:szCs w:val="32"/>
        </w:rPr>
        <w:t>）的中选供应商，根据《中华人民共和国民法典》和有关法律法规，甲乙双方本着诚实信用、平等互利的原则，签订本合同，以供双方共同遵守：</w:t>
      </w:r>
    </w:p>
    <w:p>
      <w:pPr>
        <w:pStyle w:val="13"/>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一、合同文件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本合同所附下列文件是构成本合同不可分割的部分，与合同正文具有同等效力：</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1.中选通知书；</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2.乙方响应项目所提交的报价表、售后服务承诺等全部报价文件；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3.甲方的采购文件；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4.甲、乙双方商定的补充协议；</w:t>
      </w:r>
    </w:p>
    <w:p>
      <w:pPr>
        <w:pStyle w:val="13"/>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二、合同范围和条件</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本合同的范围和条件与上述合同文件的规定相一致。</w:t>
      </w:r>
    </w:p>
    <w:p>
      <w:pPr>
        <w:pStyle w:val="13"/>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三、货物采购和服务内容</w:t>
      </w:r>
    </w:p>
    <w:p>
      <w:pPr>
        <w:pStyle w:val="13"/>
        <w:tabs>
          <w:tab w:val="left" w:pos="515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1.合同标的</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994"/>
        <w:gridCol w:w="992"/>
        <w:gridCol w:w="852"/>
        <w:gridCol w:w="1560"/>
        <w:gridCol w:w="1133"/>
        <w:gridCol w:w="1275"/>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b/>
                <w:sz w:val="24"/>
              </w:rPr>
            </w:pPr>
            <w:r>
              <w:rPr>
                <w:rFonts w:hint="eastAsia"/>
                <w:b/>
                <w:sz w:val="24"/>
              </w:rPr>
              <w:t>货物名称</w:t>
            </w:r>
          </w:p>
        </w:tc>
        <w:tc>
          <w:tcPr>
            <w:tcW w:w="994" w:type="dxa"/>
            <w:vAlign w:val="center"/>
          </w:tcPr>
          <w:p>
            <w:pPr>
              <w:spacing w:line="440" w:lineRule="exact"/>
              <w:jc w:val="center"/>
              <w:rPr>
                <w:rFonts w:cs="宋体"/>
                <w:b/>
                <w:bCs/>
                <w:kern w:val="0"/>
                <w:sz w:val="24"/>
              </w:rPr>
            </w:pPr>
            <w:r>
              <w:rPr>
                <w:rFonts w:hint="eastAsia" w:cs="宋体"/>
                <w:b/>
                <w:bCs/>
                <w:kern w:val="0"/>
                <w:sz w:val="24"/>
              </w:rPr>
              <w:t>品牌</w:t>
            </w:r>
          </w:p>
        </w:tc>
        <w:tc>
          <w:tcPr>
            <w:tcW w:w="992" w:type="dxa"/>
            <w:vAlign w:val="center"/>
          </w:tcPr>
          <w:p>
            <w:pPr>
              <w:spacing w:line="440" w:lineRule="exact"/>
              <w:jc w:val="center"/>
              <w:rPr>
                <w:rFonts w:cs="宋体"/>
                <w:b/>
                <w:bCs/>
                <w:kern w:val="0"/>
                <w:sz w:val="24"/>
              </w:rPr>
            </w:pPr>
            <w:r>
              <w:rPr>
                <w:rFonts w:hint="eastAsia" w:cs="宋体"/>
                <w:b/>
                <w:bCs/>
                <w:kern w:val="0"/>
                <w:sz w:val="24"/>
              </w:rPr>
              <w:t>厂家</w:t>
            </w:r>
          </w:p>
        </w:tc>
        <w:tc>
          <w:tcPr>
            <w:tcW w:w="852" w:type="dxa"/>
            <w:vAlign w:val="center"/>
          </w:tcPr>
          <w:p>
            <w:pPr>
              <w:spacing w:line="440" w:lineRule="exact"/>
              <w:jc w:val="center"/>
              <w:rPr>
                <w:rFonts w:cs="宋体"/>
                <w:b/>
                <w:bCs/>
                <w:kern w:val="0"/>
                <w:sz w:val="24"/>
              </w:rPr>
            </w:pPr>
            <w:r>
              <w:rPr>
                <w:rFonts w:hint="eastAsia" w:cs="宋体"/>
                <w:b/>
                <w:bCs/>
                <w:kern w:val="0"/>
                <w:sz w:val="24"/>
              </w:rPr>
              <w:t>产地</w:t>
            </w:r>
          </w:p>
        </w:tc>
        <w:tc>
          <w:tcPr>
            <w:tcW w:w="1560" w:type="dxa"/>
            <w:vAlign w:val="center"/>
          </w:tcPr>
          <w:p>
            <w:pPr>
              <w:spacing w:line="440" w:lineRule="exact"/>
              <w:jc w:val="center"/>
              <w:rPr>
                <w:b/>
                <w:sz w:val="24"/>
              </w:rPr>
            </w:pPr>
            <w:r>
              <w:rPr>
                <w:rFonts w:hint="eastAsia" w:cs="宋体"/>
                <w:b/>
                <w:bCs/>
                <w:kern w:val="0"/>
                <w:sz w:val="24"/>
              </w:rPr>
              <w:t>技术参数、性能（配置）及其他要求</w:t>
            </w:r>
          </w:p>
        </w:tc>
        <w:tc>
          <w:tcPr>
            <w:tcW w:w="1133" w:type="dxa"/>
            <w:vAlign w:val="center"/>
          </w:tcPr>
          <w:p>
            <w:pPr>
              <w:spacing w:line="440" w:lineRule="exact"/>
              <w:jc w:val="center"/>
              <w:rPr>
                <w:b/>
                <w:sz w:val="24"/>
              </w:rPr>
            </w:pPr>
            <w:r>
              <w:rPr>
                <w:rFonts w:hint="eastAsia"/>
                <w:b/>
                <w:sz w:val="24"/>
              </w:rPr>
              <w:t>数量（单位）</w:t>
            </w:r>
          </w:p>
        </w:tc>
        <w:tc>
          <w:tcPr>
            <w:tcW w:w="1275" w:type="dxa"/>
            <w:vAlign w:val="center"/>
          </w:tcPr>
          <w:p>
            <w:pPr>
              <w:spacing w:line="440" w:lineRule="exact"/>
              <w:jc w:val="center"/>
              <w:rPr>
                <w:b/>
                <w:sz w:val="24"/>
              </w:rPr>
            </w:pPr>
            <w:r>
              <w:rPr>
                <w:rFonts w:hint="eastAsia"/>
                <w:b/>
                <w:sz w:val="24"/>
              </w:rPr>
              <w:t>单价（人民币元）</w:t>
            </w:r>
          </w:p>
        </w:tc>
        <w:tc>
          <w:tcPr>
            <w:tcW w:w="1526" w:type="dxa"/>
            <w:vAlign w:val="center"/>
          </w:tcPr>
          <w:p>
            <w:pPr>
              <w:spacing w:line="440" w:lineRule="exact"/>
              <w:jc w:val="center"/>
              <w:rPr>
                <w:b/>
                <w:sz w:val="24"/>
              </w:rPr>
            </w:pPr>
            <w:r>
              <w:rPr>
                <w:rFonts w:hint="eastAsia"/>
                <w:b/>
                <w:sz w:val="24"/>
              </w:rPr>
              <w:t>小计（人民币元）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sz w:val="24"/>
              </w:rPr>
            </w:pPr>
          </w:p>
        </w:tc>
        <w:tc>
          <w:tcPr>
            <w:tcW w:w="994" w:type="dxa"/>
            <w:vAlign w:val="center"/>
          </w:tcPr>
          <w:p>
            <w:pPr>
              <w:spacing w:line="440" w:lineRule="exact"/>
              <w:jc w:val="center"/>
              <w:rPr>
                <w:sz w:val="24"/>
              </w:rPr>
            </w:pPr>
          </w:p>
        </w:tc>
        <w:tc>
          <w:tcPr>
            <w:tcW w:w="992" w:type="dxa"/>
            <w:vAlign w:val="center"/>
          </w:tcPr>
          <w:p>
            <w:pPr>
              <w:spacing w:line="440" w:lineRule="exact"/>
              <w:jc w:val="center"/>
              <w:rPr>
                <w:sz w:val="24"/>
              </w:rPr>
            </w:pPr>
          </w:p>
        </w:tc>
        <w:tc>
          <w:tcPr>
            <w:tcW w:w="852" w:type="dxa"/>
            <w:vAlign w:val="center"/>
          </w:tcPr>
          <w:p>
            <w:pPr>
              <w:spacing w:line="440" w:lineRule="exact"/>
              <w:jc w:val="center"/>
              <w:rPr>
                <w:sz w:val="24"/>
              </w:rPr>
            </w:pPr>
          </w:p>
        </w:tc>
        <w:tc>
          <w:tcPr>
            <w:tcW w:w="1560" w:type="dxa"/>
            <w:vAlign w:val="center"/>
          </w:tcPr>
          <w:p>
            <w:pPr>
              <w:spacing w:line="440" w:lineRule="exact"/>
              <w:jc w:val="center"/>
              <w:rPr>
                <w:sz w:val="24"/>
              </w:rPr>
            </w:pPr>
          </w:p>
        </w:tc>
        <w:tc>
          <w:tcPr>
            <w:tcW w:w="1133" w:type="dxa"/>
            <w:vAlign w:val="center"/>
          </w:tcPr>
          <w:p>
            <w:pPr>
              <w:spacing w:line="440" w:lineRule="exact"/>
              <w:jc w:val="center"/>
              <w:rPr>
                <w:sz w:val="24"/>
              </w:rPr>
            </w:pPr>
          </w:p>
        </w:tc>
        <w:tc>
          <w:tcPr>
            <w:tcW w:w="1275" w:type="dxa"/>
            <w:vAlign w:val="center"/>
          </w:tcPr>
          <w:p>
            <w:pPr>
              <w:spacing w:line="440" w:lineRule="exact"/>
              <w:jc w:val="center"/>
              <w:rPr>
                <w:sz w:val="24"/>
              </w:rPr>
            </w:pPr>
          </w:p>
        </w:tc>
        <w:tc>
          <w:tcPr>
            <w:tcW w:w="1526"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sz w:val="24"/>
              </w:rPr>
            </w:pPr>
          </w:p>
        </w:tc>
        <w:tc>
          <w:tcPr>
            <w:tcW w:w="994" w:type="dxa"/>
            <w:vAlign w:val="center"/>
          </w:tcPr>
          <w:p>
            <w:pPr>
              <w:spacing w:line="440" w:lineRule="exact"/>
              <w:jc w:val="center"/>
              <w:rPr>
                <w:sz w:val="24"/>
              </w:rPr>
            </w:pPr>
          </w:p>
        </w:tc>
        <w:tc>
          <w:tcPr>
            <w:tcW w:w="992" w:type="dxa"/>
            <w:vAlign w:val="center"/>
          </w:tcPr>
          <w:p>
            <w:pPr>
              <w:spacing w:line="440" w:lineRule="exact"/>
              <w:jc w:val="center"/>
              <w:rPr>
                <w:sz w:val="24"/>
              </w:rPr>
            </w:pPr>
          </w:p>
        </w:tc>
        <w:tc>
          <w:tcPr>
            <w:tcW w:w="852" w:type="dxa"/>
            <w:vAlign w:val="center"/>
          </w:tcPr>
          <w:p>
            <w:pPr>
              <w:spacing w:line="440" w:lineRule="exact"/>
              <w:jc w:val="center"/>
              <w:rPr>
                <w:sz w:val="24"/>
              </w:rPr>
            </w:pPr>
          </w:p>
        </w:tc>
        <w:tc>
          <w:tcPr>
            <w:tcW w:w="1560" w:type="dxa"/>
            <w:vAlign w:val="center"/>
          </w:tcPr>
          <w:p>
            <w:pPr>
              <w:spacing w:line="440" w:lineRule="exact"/>
              <w:jc w:val="center"/>
              <w:rPr>
                <w:sz w:val="24"/>
              </w:rPr>
            </w:pPr>
          </w:p>
        </w:tc>
        <w:tc>
          <w:tcPr>
            <w:tcW w:w="1133" w:type="dxa"/>
            <w:vAlign w:val="center"/>
          </w:tcPr>
          <w:p>
            <w:pPr>
              <w:spacing w:line="440" w:lineRule="exact"/>
              <w:jc w:val="center"/>
              <w:rPr>
                <w:sz w:val="24"/>
              </w:rPr>
            </w:pPr>
          </w:p>
        </w:tc>
        <w:tc>
          <w:tcPr>
            <w:tcW w:w="1275" w:type="dxa"/>
            <w:vAlign w:val="center"/>
          </w:tcPr>
          <w:p>
            <w:pPr>
              <w:spacing w:line="440" w:lineRule="exact"/>
              <w:jc w:val="center"/>
              <w:rPr>
                <w:sz w:val="24"/>
              </w:rPr>
            </w:pPr>
          </w:p>
        </w:tc>
        <w:tc>
          <w:tcPr>
            <w:tcW w:w="1526"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0" w:type="dxa"/>
            <w:vAlign w:val="center"/>
          </w:tcPr>
          <w:p>
            <w:pPr>
              <w:spacing w:line="440" w:lineRule="exact"/>
              <w:jc w:val="center"/>
              <w:rPr>
                <w:sz w:val="24"/>
              </w:rPr>
            </w:pPr>
          </w:p>
        </w:tc>
        <w:tc>
          <w:tcPr>
            <w:tcW w:w="994" w:type="dxa"/>
            <w:vAlign w:val="center"/>
          </w:tcPr>
          <w:p>
            <w:pPr>
              <w:spacing w:line="440" w:lineRule="exact"/>
              <w:jc w:val="center"/>
              <w:rPr>
                <w:sz w:val="24"/>
              </w:rPr>
            </w:pPr>
          </w:p>
        </w:tc>
        <w:tc>
          <w:tcPr>
            <w:tcW w:w="992" w:type="dxa"/>
            <w:vAlign w:val="center"/>
          </w:tcPr>
          <w:p>
            <w:pPr>
              <w:spacing w:line="440" w:lineRule="exact"/>
              <w:jc w:val="center"/>
              <w:rPr>
                <w:sz w:val="24"/>
              </w:rPr>
            </w:pPr>
          </w:p>
        </w:tc>
        <w:tc>
          <w:tcPr>
            <w:tcW w:w="852" w:type="dxa"/>
            <w:vAlign w:val="center"/>
          </w:tcPr>
          <w:p>
            <w:pPr>
              <w:spacing w:line="440" w:lineRule="exact"/>
              <w:jc w:val="center"/>
              <w:rPr>
                <w:sz w:val="24"/>
              </w:rPr>
            </w:pPr>
          </w:p>
        </w:tc>
        <w:tc>
          <w:tcPr>
            <w:tcW w:w="1560" w:type="dxa"/>
            <w:vAlign w:val="center"/>
          </w:tcPr>
          <w:p>
            <w:pPr>
              <w:spacing w:line="440" w:lineRule="exact"/>
              <w:jc w:val="center"/>
              <w:rPr>
                <w:sz w:val="24"/>
              </w:rPr>
            </w:pPr>
          </w:p>
        </w:tc>
        <w:tc>
          <w:tcPr>
            <w:tcW w:w="1133" w:type="dxa"/>
            <w:vAlign w:val="center"/>
          </w:tcPr>
          <w:p>
            <w:pPr>
              <w:spacing w:line="440" w:lineRule="exact"/>
              <w:jc w:val="center"/>
              <w:rPr>
                <w:sz w:val="24"/>
              </w:rPr>
            </w:pPr>
          </w:p>
        </w:tc>
        <w:tc>
          <w:tcPr>
            <w:tcW w:w="1275" w:type="dxa"/>
            <w:vAlign w:val="center"/>
          </w:tcPr>
          <w:p>
            <w:pPr>
              <w:spacing w:line="440" w:lineRule="exact"/>
              <w:jc w:val="center"/>
              <w:rPr>
                <w:sz w:val="24"/>
              </w:rPr>
            </w:pPr>
          </w:p>
        </w:tc>
        <w:tc>
          <w:tcPr>
            <w:tcW w:w="1526"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6" w:type="dxa"/>
            <w:gridSpan w:val="7"/>
            <w:vAlign w:val="center"/>
          </w:tcPr>
          <w:p>
            <w:pPr>
              <w:spacing w:line="440" w:lineRule="exact"/>
              <w:jc w:val="center"/>
              <w:rPr>
                <w:b/>
                <w:sz w:val="24"/>
              </w:rPr>
            </w:pPr>
            <w:r>
              <w:rPr>
                <w:rFonts w:hint="eastAsia"/>
                <w:b/>
                <w:sz w:val="24"/>
              </w:rPr>
              <w:t>合同总金额合计</w:t>
            </w:r>
          </w:p>
        </w:tc>
        <w:tc>
          <w:tcPr>
            <w:tcW w:w="1526" w:type="dxa"/>
            <w:vAlign w:val="center"/>
          </w:tcPr>
          <w:p>
            <w:pPr>
              <w:spacing w:line="440" w:lineRule="exact"/>
              <w:jc w:val="center"/>
              <w:rPr>
                <w:sz w:val="24"/>
              </w:rPr>
            </w:pPr>
          </w:p>
        </w:tc>
      </w:tr>
    </w:tbl>
    <w:p>
      <w:pPr>
        <w:pStyle w:val="13"/>
        <w:tabs>
          <w:tab w:val="left" w:pos="515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2.除以上第1点外，本合同所涉及的乙方应提供的货物及相关服务内容同时按甲方招标文件《需求一览表》要求及乙方投标（报价）文件承诺执行。</w:t>
      </w:r>
    </w:p>
    <w:p>
      <w:pPr>
        <w:pStyle w:val="13"/>
        <w:spacing w:line="560" w:lineRule="exact"/>
        <w:ind w:firstLine="640" w:firstLineChars="200"/>
        <w:rPr>
          <w:rFonts w:hint="eastAsia" w:ascii="黑体" w:hAnsi="黑体" w:eastAsia="黑体"/>
          <w:bCs/>
          <w:sz w:val="32"/>
          <w:szCs w:val="32"/>
        </w:rPr>
      </w:pPr>
      <w:r>
        <w:rPr>
          <w:rFonts w:ascii="黑体" w:hAnsi="黑体" w:eastAsia="黑体"/>
          <w:bCs/>
          <w:sz w:val="32"/>
          <w:szCs w:val="32"/>
        </w:rPr>
        <w:t>四、合同金额及产品标准</w:t>
      </w:r>
    </w:p>
    <w:p>
      <w:pPr>
        <w:pStyle w:val="13"/>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（一）根据中选通知书的中选内容，本合同的总金额为（大写）</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元（小写：￥</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）。该</w:t>
      </w:r>
      <w:r>
        <w:rPr>
          <w:rFonts w:ascii="Times New Roman" w:hAnsi="Times New Roman" w:eastAsia="仿宋_GB2312"/>
          <w:sz w:val="32"/>
          <w:szCs w:val="32"/>
        </w:rPr>
        <w:t>合同总金额为固定不变价，包含但不限于：成本及利润、税金、包装费、运输费、保险费、仓储费、损耗费，及后续的开箱检验、保修和维修、技术服务、软件实施费、安装调试费、售后服务费、培训、人工等费用。双方确认，除本合同总金额外，甲方无须就本合同项下货物或乙方提供的服务向乙方支付任何额外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（二）上述货物适用下列第</w:t>
      </w:r>
      <w:r>
        <w:rPr>
          <w:rFonts w:hint="eastAsia" w:ascii="仿宋_GB2312" w:eastAsia="仿宋_GB2312"/>
          <w:sz w:val="32"/>
          <w:szCs w:val="32"/>
          <w:u w:val="single"/>
        </w:rPr>
        <w:t xml:space="preserve"> 1 </w:t>
      </w:r>
      <w:r>
        <w:rPr>
          <w:rFonts w:hint="eastAsia" w:ascii="仿宋_GB2312" w:eastAsia="仿宋_GB2312"/>
          <w:sz w:val="32"/>
          <w:szCs w:val="32"/>
        </w:rPr>
        <w:t>项中技术和质量标准：</w:t>
      </w:r>
    </w:p>
    <w:p>
      <w:pPr>
        <w:spacing w:line="560" w:lineRule="exact"/>
        <w:ind w:firstLine="640" w:firstLineChars="200"/>
        <w:rPr>
          <w:rFonts w:eastAsia="仿宋_GB2312"/>
          <w:sz w:val="32"/>
          <w:szCs w:val="32"/>
        </w:rPr>
      </w:pPr>
      <w:r>
        <w:rPr>
          <w:rFonts w:eastAsia="仿宋_GB2312"/>
          <w:sz w:val="32"/>
          <w:szCs w:val="32"/>
        </w:rPr>
        <w:t>1.按同类产品国家标准及采购文件、报价文件确认的标准；</w:t>
      </w:r>
    </w:p>
    <w:p>
      <w:pPr>
        <w:spacing w:line="560" w:lineRule="exact"/>
        <w:ind w:firstLine="640" w:firstLineChars="200"/>
        <w:rPr>
          <w:rFonts w:eastAsia="仿宋_GB2312"/>
          <w:sz w:val="32"/>
          <w:szCs w:val="32"/>
        </w:rPr>
      </w:pPr>
      <w:r>
        <w:rPr>
          <w:rFonts w:eastAsia="仿宋_GB2312"/>
          <w:sz w:val="32"/>
          <w:szCs w:val="32"/>
        </w:rPr>
        <w:t>2.按同类产品部颁标准；</w:t>
      </w:r>
    </w:p>
    <w:p>
      <w:pPr>
        <w:spacing w:line="560" w:lineRule="exact"/>
        <w:ind w:firstLine="640" w:firstLineChars="200"/>
        <w:rPr>
          <w:rFonts w:eastAsia="仿宋_GB2312"/>
          <w:sz w:val="32"/>
          <w:szCs w:val="32"/>
        </w:rPr>
      </w:pPr>
      <w:r>
        <w:rPr>
          <w:rFonts w:eastAsia="仿宋_GB2312"/>
          <w:sz w:val="32"/>
          <w:szCs w:val="32"/>
        </w:rPr>
        <w:t>3.按同类产品行业标准；</w:t>
      </w:r>
    </w:p>
    <w:p>
      <w:pPr>
        <w:spacing w:line="560" w:lineRule="exact"/>
        <w:ind w:firstLine="640" w:firstLineChars="200"/>
        <w:rPr>
          <w:rFonts w:eastAsia="仿宋_GB2312"/>
          <w:sz w:val="32"/>
          <w:szCs w:val="32"/>
        </w:rPr>
      </w:pPr>
      <w:r>
        <w:rPr>
          <w:rFonts w:eastAsia="仿宋_GB2312"/>
          <w:sz w:val="32"/>
          <w:szCs w:val="32"/>
        </w:rPr>
        <w:t>4.没有上述标准或虽有上述标准，但双方同意按附件所约定标准执行；</w:t>
      </w:r>
    </w:p>
    <w:p>
      <w:pPr>
        <w:spacing w:line="560" w:lineRule="exact"/>
        <w:ind w:firstLine="640" w:firstLineChars="200"/>
        <w:rPr>
          <w:rFonts w:eastAsia="仿宋_GB2312"/>
          <w:sz w:val="32"/>
          <w:szCs w:val="32"/>
        </w:rPr>
      </w:pPr>
      <w:r>
        <w:rPr>
          <w:rFonts w:eastAsia="仿宋_GB2312"/>
          <w:sz w:val="32"/>
          <w:szCs w:val="32"/>
        </w:rPr>
        <w:t>5.按双方签订本合同前确认的样品（由双方确认后封存）标准执行。</w:t>
      </w:r>
    </w:p>
    <w:p>
      <w:pPr>
        <w:spacing w:line="560" w:lineRule="exact"/>
        <w:ind w:firstLine="640" w:firstLineChars="200"/>
        <w:rPr>
          <w:rFonts w:eastAsia="仿宋_GB2312"/>
          <w:sz w:val="32"/>
          <w:szCs w:val="32"/>
        </w:rPr>
      </w:pPr>
      <w:r>
        <w:rPr>
          <w:rFonts w:eastAsia="仿宋_GB2312"/>
          <w:sz w:val="32"/>
          <w:szCs w:val="32"/>
        </w:rPr>
        <w:t>（三）乙方应按合同约定的名称、品牌、数量、规格型号、技术要求、质量标准向甲方提供合法销售的全新的未经使用的原厂合格产品，该批产品的质量标准和样式应和招标文件要求一致；且必须符合国家质量检测标准，具有产品出厂标准或国家鉴定证书。</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五、结算、支付条款</w:t>
      </w:r>
    </w:p>
    <w:p>
      <w:pPr>
        <w:spacing w:line="560" w:lineRule="exact"/>
        <w:ind w:firstLine="640" w:firstLineChars="200"/>
        <w:rPr>
          <w:rFonts w:eastAsia="仿宋_GB2312"/>
          <w:sz w:val="32"/>
          <w:szCs w:val="32"/>
        </w:rPr>
      </w:pPr>
      <w:r>
        <w:rPr>
          <w:rFonts w:eastAsia="仿宋_GB2312"/>
          <w:sz w:val="32"/>
          <w:szCs w:val="32"/>
        </w:rPr>
        <w:t>（一）甲方采用转账方式，并按以下约定安排付款：</w:t>
      </w:r>
    </w:p>
    <w:p>
      <w:pPr>
        <w:spacing w:line="560" w:lineRule="exact"/>
        <w:ind w:firstLine="640" w:firstLineChars="200"/>
        <w:rPr>
          <w:rFonts w:eastAsia="仿宋_GB2312"/>
          <w:sz w:val="32"/>
          <w:szCs w:val="32"/>
        </w:rPr>
      </w:pPr>
      <w:r>
        <w:rPr>
          <w:rFonts w:eastAsia="仿宋_GB2312"/>
          <w:sz w:val="32"/>
          <w:szCs w:val="32"/>
        </w:rPr>
        <w:t>1.合同生效后</w:t>
      </w:r>
      <w:r>
        <w:rPr>
          <w:rFonts w:eastAsia="仿宋_GB2312"/>
          <w:sz w:val="32"/>
          <w:szCs w:val="32"/>
          <w:u w:val="single"/>
        </w:rPr>
        <w:t xml:space="preserve"> 5 </w:t>
      </w:r>
      <w:r>
        <w:rPr>
          <w:rFonts w:eastAsia="仿宋_GB2312"/>
          <w:sz w:val="32"/>
          <w:szCs w:val="32"/>
        </w:rPr>
        <w:t>日内，甲方支付合同总额的</w:t>
      </w:r>
      <w:r>
        <w:rPr>
          <w:rFonts w:eastAsia="仿宋_GB2312"/>
          <w:sz w:val="32"/>
          <w:szCs w:val="32"/>
          <w:u w:val="single"/>
        </w:rPr>
        <w:t xml:space="preserve">  30  </w:t>
      </w:r>
      <w:r>
        <w:rPr>
          <w:rFonts w:eastAsia="仿宋_GB2312"/>
          <w:sz w:val="32"/>
          <w:szCs w:val="32"/>
        </w:rPr>
        <w:t>%作为预付款，即人民币</w:t>
      </w:r>
      <w:r>
        <w:rPr>
          <w:rFonts w:eastAsia="仿宋_GB2312"/>
          <w:sz w:val="32"/>
          <w:szCs w:val="32"/>
          <w:u w:val="single"/>
        </w:rPr>
        <w:t xml:space="preserve">     </w:t>
      </w:r>
      <w:r>
        <w:rPr>
          <w:rFonts w:eastAsia="仿宋_GB2312"/>
          <w:sz w:val="32"/>
          <w:szCs w:val="32"/>
        </w:rPr>
        <w:t>元。</w:t>
      </w:r>
    </w:p>
    <w:p>
      <w:pPr>
        <w:spacing w:line="560" w:lineRule="exact"/>
        <w:ind w:firstLine="640" w:firstLineChars="200"/>
        <w:rPr>
          <w:rFonts w:eastAsia="仿宋_GB2312"/>
          <w:sz w:val="32"/>
          <w:szCs w:val="32"/>
        </w:rPr>
      </w:pPr>
      <w:r>
        <w:rPr>
          <w:rFonts w:eastAsia="仿宋_GB2312"/>
          <w:sz w:val="32"/>
          <w:szCs w:val="32"/>
        </w:rPr>
        <w:t>2.乙方在设备生产完毕出货前并开具税率为13%的全额增值税专用发票给甲方后，甲方支付合同总额的</w:t>
      </w:r>
      <w:r>
        <w:rPr>
          <w:rFonts w:eastAsia="仿宋_GB2312"/>
          <w:sz w:val="32"/>
          <w:szCs w:val="32"/>
          <w:u w:val="single"/>
        </w:rPr>
        <w:t xml:space="preserve">  50  </w:t>
      </w:r>
      <w:r>
        <w:rPr>
          <w:rFonts w:eastAsia="仿宋_GB2312"/>
          <w:sz w:val="32"/>
          <w:szCs w:val="32"/>
        </w:rPr>
        <w:t>%为提货款，即人民币</w:t>
      </w:r>
      <w:r>
        <w:rPr>
          <w:rFonts w:eastAsia="仿宋_GB2312"/>
          <w:sz w:val="32"/>
          <w:szCs w:val="32"/>
          <w:u w:val="single"/>
        </w:rPr>
        <w:t xml:space="preserve">      </w:t>
      </w:r>
      <w:r>
        <w:rPr>
          <w:rFonts w:eastAsia="仿宋_GB2312"/>
          <w:sz w:val="32"/>
          <w:szCs w:val="32"/>
        </w:rPr>
        <w:t>元。</w:t>
      </w:r>
    </w:p>
    <w:p>
      <w:pPr>
        <w:spacing w:line="560" w:lineRule="exact"/>
        <w:ind w:firstLine="640" w:firstLineChars="200"/>
        <w:rPr>
          <w:rFonts w:eastAsia="仿宋_GB2312"/>
          <w:sz w:val="32"/>
          <w:szCs w:val="32"/>
        </w:rPr>
      </w:pPr>
      <w:r>
        <w:rPr>
          <w:rFonts w:eastAsia="仿宋_GB2312"/>
          <w:sz w:val="32"/>
          <w:szCs w:val="32"/>
        </w:rPr>
        <w:t>3.设备到甲方厂内完成安装调试，经甲方验收合格后</w:t>
      </w:r>
      <w:r>
        <w:rPr>
          <w:rFonts w:eastAsia="仿宋_GB2312"/>
          <w:sz w:val="32"/>
          <w:szCs w:val="32"/>
          <w:u w:val="single"/>
        </w:rPr>
        <w:t xml:space="preserve">30 </w:t>
      </w:r>
      <w:r>
        <w:rPr>
          <w:rFonts w:eastAsia="仿宋_GB2312"/>
          <w:sz w:val="32"/>
          <w:szCs w:val="32"/>
        </w:rPr>
        <w:t>日内，支付合同总额的</w:t>
      </w:r>
      <w:r>
        <w:rPr>
          <w:rFonts w:eastAsia="仿宋_GB2312"/>
          <w:sz w:val="32"/>
          <w:szCs w:val="32"/>
          <w:u w:val="single"/>
        </w:rPr>
        <w:t xml:space="preserve"> 15%</w:t>
      </w:r>
      <w:r>
        <w:rPr>
          <w:rFonts w:hint="eastAsia" w:eastAsia="仿宋_GB2312"/>
          <w:sz w:val="32"/>
          <w:szCs w:val="32"/>
          <w:u w:val="single"/>
        </w:rPr>
        <w:t xml:space="preserve"> </w:t>
      </w:r>
      <w:r>
        <w:rPr>
          <w:rFonts w:eastAsia="仿宋_GB2312"/>
          <w:sz w:val="32"/>
          <w:szCs w:val="32"/>
        </w:rPr>
        <w:t>为验收款，即人民币</w:t>
      </w:r>
      <w:r>
        <w:rPr>
          <w:rFonts w:eastAsia="仿宋_GB2312"/>
          <w:sz w:val="32"/>
          <w:szCs w:val="32"/>
          <w:u w:val="single"/>
        </w:rPr>
        <w:t xml:space="preserve">     </w:t>
      </w:r>
      <w:r>
        <w:rPr>
          <w:rFonts w:eastAsia="仿宋_GB2312"/>
          <w:sz w:val="32"/>
          <w:szCs w:val="32"/>
        </w:rPr>
        <w:t>元。</w:t>
      </w:r>
    </w:p>
    <w:p>
      <w:pPr>
        <w:spacing w:line="560" w:lineRule="exact"/>
        <w:ind w:firstLine="640" w:firstLineChars="200"/>
        <w:rPr>
          <w:rFonts w:eastAsia="仿宋_GB2312"/>
          <w:sz w:val="32"/>
          <w:szCs w:val="32"/>
        </w:rPr>
      </w:pPr>
      <w:r>
        <w:rPr>
          <w:rFonts w:eastAsia="仿宋_GB2312"/>
          <w:sz w:val="32"/>
          <w:szCs w:val="32"/>
        </w:rPr>
        <w:t>4.剩余5%作为质保金，质保期12个月，从验收合格日起计，质保到期后10天内全额无息支付给乙方。</w:t>
      </w:r>
    </w:p>
    <w:p>
      <w:pPr>
        <w:spacing w:line="560" w:lineRule="exact"/>
        <w:ind w:firstLine="640" w:firstLineChars="200"/>
        <w:rPr>
          <w:rFonts w:eastAsia="仿宋_GB2312"/>
          <w:sz w:val="32"/>
          <w:szCs w:val="32"/>
        </w:rPr>
      </w:pPr>
      <w:r>
        <w:rPr>
          <w:rFonts w:eastAsia="仿宋_GB2312"/>
          <w:sz w:val="32"/>
          <w:szCs w:val="32"/>
        </w:rPr>
        <w:t>（二）乙方应按照甲方的要求向甲方开具真实、合法、有效的增值税专用正式发票，否则甲方可拒绝付款且无须承担任何违约责任。如乙方向甲方提供的发票系虚假、伪造、变造的，乙方除须向甲方补开合法发票外，还须按应开发票票面金额的30%向甲方支付违约金，且须赔偿甲方所受损失（包括但不限于甲方所受的行政罚款、补开发票产生的税款、鉴定费等），同时甲方有权终止合同，因终止合同而产生的一切损失均由乙方承担。</w:t>
      </w:r>
    </w:p>
    <w:p>
      <w:pPr>
        <w:spacing w:line="560" w:lineRule="exact"/>
        <w:ind w:firstLine="640" w:firstLineChars="200"/>
        <w:rPr>
          <w:rFonts w:eastAsia="仿宋_GB2312"/>
          <w:sz w:val="32"/>
          <w:szCs w:val="32"/>
        </w:rPr>
      </w:pPr>
      <w:r>
        <w:rPr>
          <w:rFonts w:eastAsia="仿宋_GB2312"/>
          <w:sz w:val="32"/>
          <w:szCs w:val="32"/>
        </w:rPr>
        <w:t>（三）乙方指定的收款账户信息如下：</w:t>
      </w:r>
    </w:p>
    <w:p>
      <w:pPr>
        <w:spacing w:line="560" w:lineRule="exact"/>
        <w:ind w:firstLine="640" w:firstLineChars="200"/>
        <w:rPr>
          <w:rFonts w:eastAsia="仿宋_GB2312"/>
          <w:sz w:val="32"/>
          <w:szCs w:val="32"/>
        </w:rPr>
      </w:pPr>
      <w:r>
        <w:rPr>
          <w:rFonts w:eastAsia="仿宋_GB2312"/>
          <w:sz w:val="32"/>
          <w:szCs w:val="32"/>
        </w:rPr>
        <w:t>开户行：</w:t>
      </w:r>
    </w:p>
    <w:p>
      <w:pPr>
        <w:spacing w:line="560" w:lineRule="exact"/>
        <w:ind w:firstLine="640" w:firstLineChars="200"/>
        <w:rPr>
          <w:rFonts w:eastAsia="仿宋_GB2312"/>
          <w:sz w:val="32"/>
          <w:szCs w:val="32"/>
        </w:rPr>
      </w:pPr>
      <w:r>
        <w:rPr>
          <w:rFonts w:eastAsia="仿宋_GB2312"/>
          <w:sz w:val="32"/>
          <w:szCs w:val="32"/>
        </w:rPr>
        <w:t>账户名称：</w:t>
      </w:r>
    </w:p>
    <w:p>
      <w:pPr>
        <w:spacing w:line="560" w:lineRule="exact"/>
        <w:ind w:firstLine="640" w:firstLineChars="200"/>
        <w:rPr>
          <w:rFonts w:eastAsia="仿宋_GB2312"/>
          <w:sz w:val="32"/>
          <w:szCs w:val="32"/>
        </w:rPr>
      </w:pPr>
      <w:r>
        <w:rPr>
          <w:rFonts w:eastAsia="仿宋_GB2312"/>
          <w:sz w:val="32"/>
          <w:szCs w:val="32"/>
        </w:rPr>
        <w:t>账号：</w:t>
      </w:r>
    </w:p>
    <w:p>
      <w:pPr>
        <w:spacing w:line="560" w:lineRule="exact"/>
        <w:ind w:firstLine="640" w:firstLineChars="200"/>
        <w:rPr>
          <w:rFonts w:eastAsia="仿宋_GB2312"/>
          <w:sz w:val="32"/>
          <w:szCs w:val="32"/>
        </w:rPr>
      </w:pPr>
      <w:r>
        <w:rPr>
          <w:rFonts w:eastAsia="仿宋_GB2312"/>
          <w:sz w:val="32"/>
          <w:szCs w:val="32"/>
        </w:rPr>
        <w:t>如乙方需改变上述账户，乙方应提前十日书面通知甲方，否则应承担对已不利的后果，如造成甲方损失的，还应当予以赔偿。</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六、运输与包装</w:t>
      </w:r>
    </w:p>
    <w:p>
      <w:pPr>
        <w:spacing w:line="560" w:lineRule="exact"/>
        <w:ind w:firstLine="640" w:firstLineChars="200"/>
        <w:rPr>
          <w:rFonts w:eastAsia="仿宋_GB2312"/>
          <w:sz w:val="32"/>
          <w:szCs w:val="32"/>
        </w:rPr>
      </w:pPr>
      <w:r>
        <w:rPr>
          <w:rFonts w:eastAsia="仿宋_GB2312"/>
          <w:sz w:val="32"/>
          <w:szCs w:val="32"/>
        </w:rPr>
        <w:t>（一）将货物运送至甲方指定交货地点并交付给甲方指定收货人之前的货物运输由乙方负责，相关的运输费用、保险、保管、货物灭失及毁损的风险亦由乙方承担。</w:t>
      </w:r>
    </w:p>
    <w:p>
      <w:pPr>
        <w:spacing w:line="560" w:lineRule="exact"/>
        <w:ind w:firstLine="640" w:firstLineChars="200"/>
        <w:rPr>
          <w:rFonts w:eastAsia="仿宋_GB2312"/>
          <w:sz w:val="32"/>
          <w:szCs w:val="32"/>
        </w:rPr>
      </w:pPr>
      <w:r>
        <w:rPr>
          <w:rFonts w:eastAsia="仿宋_GB2312"/>
          <w:sz w:val="32"/>
          <w:szCs w:val="32"/>
        </w:rPr>
        <w:t>（二）乙方应根据货物特点进行坚固包装使其防水、防潮、防腐、防锈、防震等，并在正常情况下适于水运、空运和长途内陆运输及反复装卸和搬运的要求。专用、特殊安装工具材料和易磨损部件应进行适当的包装并采取特别保护措施。包装费用由乙方承担。乙方需在每一包装箱（物）表面显著位置以显著方式标明合同号、箱号、收货人、目的地、内件品名、尺寸规格、数量、重量等内容。并对每一包装箱内货物附以标签，标明其在安装图纸中的编号。另外乙方应根据货物的特点及其对装卸操作的要求在包装箱显著位置以英文或中文标明“保持干燥”，“小心轻放”，“此面向上”等国际惯用图示。</w:t>
      </w:r>
    </w:p>
    <w:p>
      <w:pPr>
        <w:spacing w:line="560" w:lineRule="exact"/>
        <w:ind w:firstLine="640" w:firstLineChars="200"/>
        <w:rPr>
          <w:rFonts w:eastAsia="仿宋_GB2312"/>
          <w:sz w:val="32"/>
          <w:szCs w:val="32"/>
        </w:rPr>
      </w:pPr>
      <w:r>
        <w:rPr>
          <w:rFonts w:eastAsia="仿宋_GB2312"/>
          <w:sz w:val="32"/>
          <w:szCs w:val="32"/>
        </w:rPr>
        <w:t>（三）对因运输和包装不当产生的货物灭失与损毁的责任，均由乙方承担。</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七、交货、开箱检验及安装调试验收</w:t>
      </w:r>
    </w:p>
    <w:p>
      <w:pPr>
        <w:spacing w:line="560" w:lineRule="exact"/>
        <w:ind w:firstLine="640" w:firstLineChars="200"/>
        <w:rPr>
          <w:rFonts w:eastAsia="仿宋_GB2312"/>
          <w:b/>
          <w:bCs/>
          <w:sz w:val="32"/>
          <w:szCs w:val="32"/>
        </w:rPr>
      </w:pPr>
      <w:r>
        <w:rPr>
          <w:rFonts w:eastAsia="仿宋_GB2312"/>
          <w:sz w:val="32"/>
          <w:szCs w:val="32"/>
        </w:rPr>
        <w:t>（一）交货时间和地点：乙方应在合同签订后</w:t>
      </w:r>
      <w:r>
        <w:rPr>
          <w:rFonts w:eastAsia="仿宋_GB2312"/>
          <w:sz w:val="32"/>
          <w:szCs w:val="32"/>
          <w:u w:val="single"/>
        </w:rPr>
        <w:t xml:space="preserve">     </w:t>
      </w:r>
      <w:r>
        <w:rPr>
          <w:rFonts w:eastAsia="仿宋_GB2312"/>
          <w:sz w:val="32"/>
          <w:szCs w:val="32"/>
        </w:rPr>
        <w:t>天内将货物送至甲方指定地点</w:t>
      </w:r>
      <w:r>
        <w:rPr>
          <w:rFonts w:eastAsia="仿宋_GB2312"/>
          <w:sz w:val="32"/>
          <w:szCs w:val="32"/>
          <w:u w:val="single"/>
        </w:rPr>
        <w:t>广西双钱健康产业股份有限公司（梧州市工业园区工业大道1号）</w:t>
      </w:r>
      <w:r>
        <w:rPr>
          <w:rFonts w:eastAsia="仿宋_GB2312"/>
          <w:sz w:val="32"/>
          <w:szCs w:val="32"/>
        </w:rPr>
        <w:t xml:space="preserve"> ，即本合同所涉货物的供货日期为</w:t>
      </w:r>
      <w:r>
        <w:rPr>
          <w:rFonts w:eastAsia="仿宋_GB2312"/>
          <w:sz w:val="32"/>
          <w:szCs w:val="32"/>
          <w:u w:val="single"/>
        </w:rPr>
        <w:t xml:space="preserve">           20  年   月   日前</w:t>
      </w:r>
      <w:r>
        <w:rPr>
          <w:rFonts w:eastAsia="仿宋_GB2312"/>
          <w:sz w:val="32"/>
          <w:szCs w:val="32"/>
        </w:rPr>
        <w:t xml:space="preserve">。                </w:t>
      </w:r>
    </w:p>
    <w:p>
      <w:pPr>
        <w:spacing w:line="560" w:lineRule="exact"/>
        <w:ind w:firstLine="640" w:firstLineChars="200"/>
        <w:rPr>
          <w:rFonts w:eastAsia="仿宋_GB2312"/>
          <w:sz w:val="32"/>
          <w:szCs w:val="32"/>
          <w:u w:val="single"/>
        </w:rPr>
      </w:pPr>
      <w:r>
        <w:rPr>
          <w:rFonts w:eastAsia="仿宋_GB2312"/>
          <w:sz w:val="32"/>
          <w:szCs w:val="32"/>
        </w:rPr>
        <w:t>（二）到货检验：乙方将货物运送至甲方指定交货地点后，乙方向甲方交付货物清单并通知甲方进行到货检验，与甲方指派代表共同对货物进行开箱检验，根据本合同约定对货物的包装外观、数量、型号、规格进行检查。以上内容检查与合同一致的，双方共同签订到货检验结果。到货检验结果合格仅视为货物在外观、数量、型号、规格符合合同的约定，到货检验结果的签署不使甲方丧失因质量问题而向乙方索赔和求偿的权利，同时不解除乙方对于货物质量缺陷或瑕疵负有的相应担保责任。</w:t>
      </w:r>
    </w:p>
    <w:p>
      <w:pPr>
        <w:spacing w:line="560" w:lineRule="exact"/>
        <w:ind w:firstLine="640" w:firstLineChars="200"/>
        <w:rPr>
          <w:rFonts w:eastAsia="仿宋_GB2312"/>
          <w:sz w:val="32"/>
          <w:szCs w:val="32"/>
        </w:rPr>
      </w:pPr>
      <w:r>
        <w:rPr>
          <w:rFonts w:eastAsia="仿宋_GB2312"/>
          <w:sz w:val="32"/>
          <w:szCs w:val="32"/>
        </w:rPr>
        <w:t>（三）安装调试验收：</w:t>
      </w:r>
    </w:p>
    <w:p>
      <w:pPr>
        <w:spacing w:line="560" w:lineRule="exact"/>
        <w:ind w:firstLine="640" w:firstLineChars="200"/>
        <w:rPr>
          <w:rFonts w:eastAsia="仿宋_GB2312"/>
          <w:sz w:val="32"/>
          <w:szCs w:val="32"/>
        </w:rPr>
      </w:pPr>
      <w:r>
        <w:rPr>
          <w:rFonts w:eastAsia="仿宋_GB2312"/>
          <w:sz w:val="32"/>
          <w:szCs w:val="32"/>
        </w:rPr>
        <w:t>1.安装调试时间：乙方应在到货检验后</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天内完成设备的安装与调试工作，即本合同所涉设备的交付使用日期为</w:t>
      </w:r>
      <w:r>
        <w:rPr>
          <w:rFonts w:hint="eastAsia" w:eastAsia="仿宋_GB2312"/>
          <w:sz w:val="32"/>
          <w:szCs w:val="32"/>
        </w:rPr>
        <w:t xml:space="preserve"> </w:t>
      </w:r>
      <w:r>
        <w:rPr>
          <w:rFonts w:eastAsia="仿宋_GB2312"/>
          <w:sz w:val="32"/>
          <w:szCs w:val="32"/>
          <w:u w:val="single"/>
        </w:rPr>
        <w:t xml:space="preserve"> 20</w:t>
      </w:r>
      <w:r>
        <w:rPr>
          <w:rFonts w:hint="eastAsia" w:eastAsia="仿宋_GB2312"/>
          <w:sz w:val="32"/>
          <w:szCs w:val="32"/>
          <w:u w:val="single"/>
        </w:rPr>
        <w:t xml:space="preserve">   </w:t>
      </w:r>
      <w:r>
        <w:rPr>
          <w:rFonts w:eastAsia="仿宋_GB2312"/>
          <w:sz w:val="32"/>
          <w:szCs w:val="32"/>
          <w:u w:val="single"/>
        </w:rPr>
        <w:t>年   月   日前</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2.甲方应在货物验收前</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天通知乙方验收时间。乙方应派其人员到甲方指定地点参加货物验收，费用自理。乙方在上述日期内拒绝或未参加验收的，甲方有权单独进行验收，对验收结果，视为乙方自动接受。买卖双方也可协商在交货现场即进行货物验收。</w:t>
      </w:r>
    </w:p>
    <w:p>
      <w:pPr>
        <w:spacing w:line="560" w:lineRule="exact"/>
        <w:ind w:firstLine="640" w:firstLineChars="200"/>
        <w:rPr>
          <w:rFonts w:eastAsia="仿宋_GB2312"/>
          <w:sz w:val="32"/>
          <w:szCs w:val="32"/>
        </w:rPr>
      </w:pPr>
      <w:r>
        <w:rPr>
          <w:rFonts w:eastAsia="仿宋_GB2312"/>
          <w:sz w:val="32"/>
          <w:szCs w:val="32"/>
        </w:rPr>
        <w:t>3.双方应共同签署检验报告，该报告应详细列明检验结果，包括检验合格或发现的任何货物短缺、毁损或与合同规定有不符之处。对检验中发现货物短缺、毁损或与合同规定有不符之处的，即为检验不合格。甲方有权拒收货物，乙方应在接到甲方通知的</w:t>
      </w:r>
      <w:r>
        <w:rPr>
          <w:rFonts w:eastAsia="仿宋_GB2312"/>
          <w:sz w:val="32"/>
          <w:szCs w:val="32"/>
          <w:u w:val="single"/>
        </w:rPr>
        <w:t>7</w:t>
      </w:r>
      <w:r>
        <w:rPr>
          <w:rFonts w:eastAsia="仿宋_GB2312"/>
          <w:sz w:val="32"/>
          <w:szCs w:val="32"/>
        </w:rPr>
        <w:t>天内免费修理、更换或补足以上货物。因此产生的一切费用，包括额外的运输费用等，将由乙方承担。如在期限内，乙方未能进行修理、更换或补足，则乙方应承担本合同约定承担关于逾期交货的违约责任。验收合格视为货物交付，货物所有权同时转移。货物正式交付甲方后有关保管、保险、灭失与毁损的风险由甲方承担，货物所有权亦同时转移给甲方。</w:t>
      </w:r>
    </w:p>
    <w:p>
      <w:pPr>
        <w:spacing w:line="560" w:lineRule="exact"/>
        <w:ind w:firstLine="640" w:firstLineChars="200"/>
        <w:rPr>
          <w:rFonts w:eastAsia="仿宋_GB2312"/>
          <w:sz w:val="32"/>
          <w:szCs w:val="32"/>
        </w:rPr>
      </w:pPr>
      <w:r>
        <w:rPr>
          <w:rFonts w:eastAsia="仿宋_GB2312"/>
          <w:sz w:val="32"/>
          <w:szCs w:val="32"/>
        </w:rPr>
        <w:t>4.验收标准：按照本项目甲方的招标文件、乙方投保文件及相关承诺、本合同规定以及国家有关技术标准。</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八、质量保证</w:t>
      </w:r>
    </w:p>
    <w:p>
      <w:pPr>
        <w:spacing w:line="560" w:lineRule="exact"/>
        <w:ind w:firstLine="640" w:firstLineChars="200"/>
        <w:rPr>
          <w:rFonts w:eastAsia="仿宋_GB2312"/>
          <w:sz w:val="32"/>
          <w:szCs w:val="32"/>
        </w:rPr>
      </w:pPr>
      <w:r>
        <w:rPr>
          <w:rFonts w:eastAsia="仿宋_GB2312"/>
          <w:sz w:val="32"/>
          <w:szCs w:val="32"/>
        </w:rPr>
        <w:t>（一）乙方对于货物向甲方提供的质保期为自甲方签署货物检验合格报告的次日起</w:t>
      </w:r>
      <w:r>
        <w:rPr>
          <w:rFonts w:eastAsia="仿宋_GB2312"/>
          <w:sz w:val="32"/>
          <w:szCs w:val="32"/>
          <w:u w:val="single"/>
        </w:rPr>
        <w:t xml:space="preserve"> 1</w:t>
      </w:r>
      <w:r>
        <w:rPr>
          <w:rFonts w:eastAsia="仿宋_GB2312"/>
          <w:sz w:val="32"/>
          <w:szCs w:val="32"/>
        </w:rPr>
        <w:t>年。</w:t>
      </w:r>
    </w:p>
    <w:p>
      <w:pPr>
        <w:spacing w:line="560" w:lineRule="exact"/>
        <w:ind w:firstLine="640" w:firstLineChars="200"/>
        <w:rPr>
          <w:rFonts w:eastAsia="仿宋_GB2312"/>
          <w:sz w:val="32"/>
          <w:szCs w:val="32"/>
        </w:rPr>
      </w:pPr>
      <w:r>
        <w:rPr>
          <w:rFonts w:eastAsia="仿宋_GB2312"/>
          <w:sz w:val="32"/>
          <w:szCs w:val="32"/>
        </w:rPr>
        <w:t>（二）量体合格率达到95%（按件），最终验收合格率达到100%。</w:t>
      </w:r>
    </w:p>
    <w:p>
      <w:pPr>
        <w:spacing w:line="560" w:lineRule="exact"/>
        <w:ind w:firstLine="640" w:firstLineChars="200"/>
        <w:rPr>
          <w:rFonts w:eastAsia="仿宋_GB2312"/>
          <w:sz w:val="32"/>
          <w:szCs w:val="32"/>
        </w:rPr>
      </w:pPr>
      <w:r>
        <w:rPr>
          <w:rFonts w:eastAsia="仿宋_GB2312"/>
          <w:sz w:val="32"/>
          <w:szCs w:val="32"/>
        </w:rPr>
        <w:t>（三）在质保期内货物本身发生的质量问题，乙方应在接到甲方故障通知后及时响应，48小时内解决问题。</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（四）对经乙方处理后仍达不到质量要求的货物，根据实际情况，经双方协商，可按以下办法处理：</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1.更换：乙方须在甲方提出更换要求之日起20日内更换，并由乙方承担由此所发生的全部费用（包括但不限于运输、保险、检验等所产生的费用）。</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2.退货处理：乙方应在甲方提出退货要求之日起20日内退还甲方已支付的全部货款，同时应承担该货物的全部费用（包括但不限于运输、保险、检验、货款利息及银行手续费等）。</w:t>
      </w:r>
    </w:p>
    <w:p>
      <w:pPr>
        <w:spacing w:line="560" w:lineRule="exact"/>
        <w:ind w:firstLine="640" w:firstLineChars="200"/>
        <w:rPr>
          <w:rFonts w:eastAsia="仿宋_GB2312"/>
          <w:sz w:val="32"/>
          <w:szCs w:val="32"/>
        </w:rPr>
      </w:pPr>
      <w:r>
        <w:rPr>
          <w:rFonts w:eastAsia="仿宋_GB2312"/>
          <w:sz w:val="32"/>
          <w:szCs w:val="32"/>
        </w:rPr>
        <w:t>（五）质保期内，对保修范围内的保修服务所发生的全部物质损耗和人员费用，均由乙方予以承担。乙方未及时承担保修责任的，甲方有权采用其他渠道和方式对货物进行维修，由此产生的费用由乙方承担。对因货物在保修期间发生的质量缺陷造成的甲方和（或）第三人的人身损害或财产损失，乙方应予以赔偿。</w:t>
      </w:r>
    </w:p>
    <w:p>
      <w:pPr>
        <w:spacing w:line="560" w:lineRule="exact"/>
        <w:ind w:firstLine="640" w:firstLineChars="200"/>
        <w:rPr>
          <w:rFonts w:eastAsia="仿宋_GB2312"/>
          <w:sz w:val="32"/>
          <w:szCs w:val="32"/>
        </w:rPr>
      </w:pPr>
      <w:r>
        <w:rPr>
          <w:rFonts w:eastAsia="仿宋_GB2312"/>
          <w:sz w:val="32"/>
          <w:szCs w:val="32"/>
        </w:rPr>
        <w:t>（六）对本款中应由乙方承担的全部保修和（或）赔偿费用，甲方有权在乙方的质量保证金中予以直接扣除，不足部分，甲方有权继续追索。乙方应在甲方通知其扣款之日起三日内将质量保证金补足至原数额，否则乙方</w:t>
      </w:r>
      <w:bookmarkStart w:id="137" w:name="_Hlk102737086"/>
      <w:r>
        <w:rPr>
          <w:rFonts w:eastAsia="仿宋_GB2312"/>
          <w:sz w:val="32"/>
          <w:szCs w:val="32"/>
        </w:rPr>
        <w:t>除补足质量保证金外还</w:t>
      </w:r>
      <w:bookmarkEnd w:id="137"/>
      <w:r>
        <w:rPr>
          <w:rFonts w:eastAsia="仿宋_GB2312"/>
          <w:sz w:val="32"/>
          <w:szCs w:val="32"/>
        </w:rPr>
        <w:t>应按未补足款项的</w:t>
      </w:r>
      <w:r>
        <w:rPr>
          <w:rFonts w:eastAsia="仿宋_GB2312"/>
          <w:sz w:val="32"/>
          <w:szCs w:val="32"/>
          <w:u w:val="single"/>
        </w:rPr>
        <w:t xml:space="preserve"> 50</w:t>
      </w:r>
      <w:r>
        <w:rPr>
          <w:rFonts w:hint="eastAsia" w:eastAsia="仿宋_GB2312"/>
          <w:sz w:val="32"/>
          <w:szCs w:val="32"/>
          <w:u w:val="single"/>
        </w:rPr>
        <w:t xml:space="preserve"> </w:t>
      </w:r>
      <w:r>
        <w:rPr>
          <w:rFonts w:eastAsia="仿宋_GB2312"/>
          <w:sz w:val="32"/>
          <w:szCs w:val="32"/>
        </w:rPr>
        <w:t xml:space="preserve"> %向甲方支付违约金。</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九、违约责任条款</w:t>
      </w:r>
    </w:p>
    <w:p>
      <w:pPr>
        <w:spacing w:line="560" w:lineRule="exact"/>
        <w:ind w:firstLine="640" w:firstLineChars="200"/>
        <w:rPr>
          <w:rFonts w:eastAsia="仿宋_GB2312"/>
          <w:sz w:val="32"/>
          <w:szCs w:val="32"/>
        </w:rPr>
      </w:pPr>
      <w:r>
        <w:rPr>
          <w:rFonts w:eastAsia="仿宋_GB2312"/>
          <w:sz w:val="32"/>
          <w:szCs w:val="32"/>
        </w:rPr>
        <w:t>（一）甲方违约责任：</w:t>
      </w:r>
    </w:p>
    <w:p>
      <w:pPr>
        <w:spacing w:line="560" w:lineRule="exact"/>
        <w:ind w:firstLine="640" w:firstLineChars="200"/>
        <w:rPr>
          <w:rFonts w:eastAsia="仿宋_GB2312"/>
          <w:sz w:val="32"/>
          <w:szCs w:val="32"/>
        </w:rPr>
      </w:pPr>
      <w:r>
        <w:rPr>
          <w:rFonts w:eastAsia="仿宋_GB2312"/>
          <w:sz w:val="32"/>
          <w:szCs w:val="32"/>
        </w:rPr>
        <w:t>1.因甲方原因逾期付款的，每逾期付款一日，甲方应按逾期付款部分的</w:t>
      </w:r>
      <w:r>
        <w:rPr>
          <w:rFonts w:eastAsia="仿宋_GB2312"/>
          <w:sz w:val="32"/>
          <w:szCs w:val="32"/>
          <w:u w:val="single"/>
        </w:rPr>
        <w:t>万分之五</w:t>
      </w:r>
      <w:r>
        <w:rPr>
          <w:rFonts w:eastAsia="仿宋_GB2312"/>
          <w:sz w:val="32"/>
          <w:szCs w:val="32"/>
        </w:rPr>
        <w:t>向乙方支付违约金，逾期违约金的支付不影响甲方合同义务的履行。甲方逾期付款超过</w:t>
      </w:r>
      <w:r>
        <w:rPr>
          <w:rFonts w:eastAsia="仿宋_GB2312"/>
          <w:sz w:val="32"/>
          <w:szCs w:val="32"/>
          <w:u w:val="single"/>
        </w:rPr>
        <w:t>20</w:t>
      </w:r>
      <w:r>
        <w:rPr>
          <w:rFonts w:eastAsia="仿宋_GB2312"/>
          <w:sz w:val="32"/>
          <w:szCs w:val="32"/>
        </w:rPr>
        <w:t>日的，乙方有权单方解除本合同。</w:t>
      </w:r>
    </w:p>
    <w:p>
      <w:pPr>
        <w:spacing w:line="560" w:lineRule="exact"/>
        <w:ind w:firstLine="640" w:firstLineChars="200"/>
        <w:rPr>
          <w:rFonts w:eastAsia="仿宋_GB2312"/>
          <w:sz w:val="32"/>
          <w:szCs w:val="32"/>
        </w:rPr>
      </w:pPr>
      <w:r>
        <w:rPr>
          <w:rFonts w:eastAsia="仿宋_GB2312"/>
          <w:sz w:val="32"/>
          <w:szCs w:val="32"/>
        </w:rPr>
        <w:t>2.除法定或本合同另有约定外，如由于甲方过错原因中途退货或单方解除合同的，甲方应向乙方支付合同总金额</w:t>
      </w:r>
      <w:r>
        <w:rPr>
          <w:rFonts w:eastAsia="仿宋_GB2312"/>
          <w:sz w:val="32"/>
          <w:szCs w:val="32"/>
          <w:u w:val="single"/>
        </w:rPr>
        <w:t>20</w:t>
      </w:r>
      <w:r>
        <w:rPr>
          <w:rFonts w:eastAsia="仿宋_GB2312"/>
          <w:sz w:val="32"/>
          <w:szCs w:val="32"/>
        </w:rPr>
        <w:t>％的违约金。</w:t>
      </w:r>
    </w:p>
    <w:p>
      <w:pPr>
        <w:spacing w:line="560" w:lineRule="exact"/>
        <w:ind w:firstLine="640" w:firstLineChars="200"/>
        <w:rPr>
          <w:rFonts w:eastAsia="仿宋_GB2312"/>
          <w:sz w:val="32"/>
          <w:szCs w:val="32"/>
        </w:rPr>
      </w:pPr>
      <w:r>
        <w:rPr>
          <w:rFonts w:eastAsia="仿宋_GB2312"/>
          <w:sz w:val="32"/>
          <w:szCs w:val="32"/>
        </w:rPr>
        <w:t>（二）乙方违约责任：</w:t>
      </w:r>
    </w:p>
    <w:p>
      <w:pPr>
        <w:spacing w:line="560" w:lineRule="exact"/>
        <w:ind w:firstLine="640" w:firstLineChars="200"/>
        <w:rPr>
          <w:rFonts w:eastAsia="仿宋_GB2312"/>
          <w:sz w:val="32"/>
          <w:szCs w:val="32"/>
        </w:rPr>
      </w:pPr>
      <w:r>
        <w:rPr>
          <w:rFonts w:eastAsia="仿宋_GB2312"/>
          <w:sz w:val="32"/>
          <w:szCs w:val="32"/>
        </w:rPr>
        <w:t>1.因乙方原因逾期交货的，每逾期交货一日，乙方应按逾期交货部分价款的</w:t>
      </w:r>
      <w:r>
        <w:rPr>
          <w:rFonts w:eastAsia="仿宋_GB2312"/>
          <w:sz w:val="32"/>
          <w:szCs w:val="32"/>
          <w:u w:val="single"/>
        </w:rPr>
        <w:t>万分之五</w:t>
      </w:r>
      <w:r>
        <w:rPr>
          <w:rFonts w:eastAsia="仿宋_GB2312"/>
          <w:sz w:val="32"/>
          <w:szCs w:val="32"/>
        </w:rPr>
        <w:t>向甲方支付违约金；上述逾期违约金的支付不影响乙方交货义务的履行；如乙方逾期交货超过</w:t>
      </w:r>
      <w:r>
        <w:rPr>
          <w:rFonts w:eastAsia="仿宋_GB2312"/>
          <w:sz w:val="32"/>
          <w:szCs w:val="32"/>
          <w:u w:val="single"/>
        </w:rPr>
        <w:t>20</w:t>
      </w:r>
      <w:r>
        <w:rPr>
          <w:rFonts w:eastAsia="仿宋_GB2312"/>
          <w:sz w:val="32"/>
          <w:szCs w:val="32"/>
        </w:rPr>
        <w:t>日的，甲方有权单方解除本合同，乙方应自收到甲方解除合同通知之日起</w:t>
      </w:r>
      <w:r>
        <w:rPr>
          <w:rFonts w:eastAsia="仿宋_GB2312"/>
          <w:sz w:val="32"/>
          <w:szCs w:val="32"/>
          <w:u w:val="single"/>
        </w:rPr>
        <w:t>7</w:t>
      </w:r>
      <w:r>
        <w:rPr>
          <w:rFonts w:eastAsia="仿宋_GB2312"/>
          <w:sz w:val="32"/>
          <w:szCs w:val="32"/>
        </w:rPr>
        <w:t>日内全额退还甲方已付货款及利息（利息按</w:t>
      </w:r>
      <w:bookmarkStart w:id="138" w:name="_Hlk102737120"/>
      <w:r>
        <w:rPr>
          <w:rFonts w:eastAsia="仿宋_GB2312"/>
          <w:sz w:val="32"/>
          <w:szCs w:val="32"/>
        </w:rPr>
        <w:t>同期贷款市场报价利率LPR</w:t>
      </w:r>
      <w:bookmarkEnd w:id="138"/>
      <w:r>
        <w:rPr>
          <w:rFonts w:eastAsia="仿宋_GB2312"/>
          <w:sz w:val="32"/>
          <w:szCs w:val="32"/>
        </w:rPr>
        <w:t>的</w:t>
      </w:r>
      <w:r>
        <w:rPr>
          <w:rFonts w:eastAsia="仿宋_GB2312"/>
          <w:sz w:val="32"/>
          <w:szCs w:val="32"/>
          <w:u w:val="single"/>
        </w:rPr>
        <w:t>4</w:t>
      </w:r>
      <w:r>
        <w:rPr>
          <w:rFonts w:eastAsia="仿宋_GB2312"/>
          <w:sz w:val="32"/>
          <w:szCs w:val="32"/>
        </w:rPr>
        <w:t>倍计算），乙方应再按合同总价的</w:t>
      </w:r>
      <w:r>
        <w:rPr>
          <w:rFonts w:eastAsia="仿宋_GB2312"/>
          <w:sz w:val="32"/>
          <w:szCs w:val="32"/>
          <w:u w:val="single"/>
        </w:rPr>
        <w:t>20</w:t>
      </w:r>
      <w:r>
        <w:rPr>
          <w:rFonts w:eastAsia="仿宋_GB2312"/>
          <w:sz w:val="32"/>
          <w:szCs w:val="32"/>
        </w:rPr>
        <w:t>%向甲方支付违约金。</w:t>
      </w:r>
    </w:p>
    <w:p>
      <w:pPr>
        <w:spacing w:line="560" w:lineRule="exact"/>
        <w:ind w:firstLine="640" w:firstLineChars="200"/>
        <w:rPr>
          <w:rFonts w:eastAsia="仿宋_GB2312"/>
          <w:sz w:val="32"/>
          <w:szCs w:val="32"/>
        </w:rPr>
      </w:pPr>
      <w:r>
        <w:rPr>
          <w:rFonts w:eastAsia="仿宋_GB2312"/>
          <w:sz w:val="32"/>
          <w:szCs w:val="32"/>
        </w:rPr>
        <w:t>2.如果由于乙方原因致使货物的到货检验不能在合同规定的时间内完成的，每逾期完成一日乙方应按合同总金额的</w:t>
      </w:r>
      <w:r>
        <w:rPr>
          <w:rFonts w:eastAsia="仿宋_GB2312"/>
          <w:sz w:val="32"/>
          <w:szCs w:val="32"/>
          <w:u w:val="single"/>
        </w:rPr>
        <w:t>万分之五</w:t>
      </w:r>
      <w:r>
        <w:rPr>
          <w:rFonts w:eastAsia="仿宋_GB2312"/>
          <w:sz w:val="32"/>
          <w:szCs w:val="32"/>
        </w:rPr>
        <w:t>支付违约金；上述逾期违约金的支付不影响乙方到货检验、初验及终验义务的履行；若逾期完成到货检验、初验或终验超过本合同约定时间</w:t>
      </w:r>
      <w:r>
        <w:rPr>
          <w:rFonts w:hint="eastAsia" w:eastAsia="仿宋_GB2312"/>
          <w:sz w:val="32"/>
          <w:szCs w:val="32"/>
          <w:u w:val="single"/>
        </w:rPr>
        <w:t xml:space="preserve"> </w:t>
      </w:r>
      <w:r>
        <w:rPr>
          <w:rFonts w:eastAsia="仿宋_GB2312"/>
          <w:sz w:val="32"/>
          <w:szCs w:val="32"/>
          <w:u w:val="single"/>
        </w:rPr>
        <w:t>30</w:t>
      </w:r>
      <w:r>
        <w:rPr>
          <w:rFonts w:eastAsia="仿宋_GB2312"/>
          <w:sz w:val="32"/>
          <w:szCs w:val="32"/>
        </w:rPr>
        <w:t>日以上的，甲方有权单方解除本合同。乙方应向甲方支付合同总金额</w:t>
      </w:r>
      <w:r>
        <w:rPr>
          <w:rFonts w:hint="eastAsia" w:eastAsia="仿宋_GB2312"/>
          <w:sz w:val="32"/>
          <w:szCs w:val="32"/>
          <w:u w:val="single"/>
        </w:rPr>
        <w:t xml:space="preserve"> </w:t>
      </w:r>
      <w:r>
        <w:rPr>
          <w:rFonts w:eastAsia="仿宋_GB2312"/>
          <w:sz w:val="32"/>
          <w:szCs w:val="32"/>
          <w:u w:val="single"/>
        </w:rPr>
        <w:t>20</w:t>
      </w:r>
      <w:r>
        <w:rPr>
          <w:rFonts w:hint="eastAsia" w:eastAsia="仿宋_GB2312"/>
          <w:sz w:val="32"/>
          <w:szCs w:val="32"/>
          <w:u w:val="single"/>
        </w:rPr>
        <w:t xml:space="preserve"> </w:t>
      </w:r>
      <w:r>
        <w:rPr>
          <w:rFonts w:eastAsia="仿宋_GB2312"/>
          <w:sz w:val="32"/>
          <w:szCs w:val="32"/>
        </w:rPr>
        <w:t xml:space="preserve"> % 的违约金。违约金不足以弥补甲方全部损失的，乙方还应予以赔偿。</w:t>
      </w:r>
    </w:p>
    <w:p>
      <w:pPr>
        <w:spacing w:line="560" w:lineRule="exact"/>
        <w:ind w:firstLine="640" w:firstLineChars="200"/>
        <w:rPr>
          <w:rFonts w:eastAsia="仿宋_GB2312"/>
          <w:sz w:val="32"/>
          <w:szCs w:val="32"/>
        </w:rPr>
      </w:pPr>
      <w:r>
        <w:rPr>
          <w:rFonts w:eastAsia="仿宋_GB2312"/>
          <w:sz w:val="32"/>
          <w:szCs w:val="32"/>
        </w:rPr>
        <w:t>3.如乙方交付货物的质量、数量、商标、规格、型号等不符合合同约定，或存在权利瑕疵，或存在知识产权纠纷的，乙方应负责处理与第三方的纠纷，并按以下第</w:t>
      </w:r>
      <w:r>
        <w:rPr>
          <w:rFonts w:eastAsia="仿宋_GB2312"/>
          <w:sz w:val="32"/>
          <w:szCs w:val="32"/>
          <w:u w:val="single"/>
        </w:rPr>
        <w:t>1、2</w:t>
      </w:r>
      <w:r>
        <w:rPr>
          <w:rFonts w:eastAsia="仿宋_GB2312"/>
          <w:sz w:val="32"/>
          <w:szCs w:val="32"/>
        </w:rPr>
        <w:t>项的约定向甲方承担违约责任，如因此给甲方造成损失的，乙方还应予以赔偿：</w:t>
      </w:r>
    </w:p>
    <w:p>
      <w:pPr>
        <w:spacing w:line="560" w:lineRule="exact"/>
        <w:ind w:firstLine="640" w:firstLineChars="200"/>
        <w:rPr>
          <w:rFonts w:eastAsia="仿宋_GB2312"/>
          <w:sz w:val="32"/>
          <w:szCs w:val="32"/>
        </w:rPr>
      </w:pPr>
      <w:r>
        <w:rPr>
          <w:rFonts w:eastAsia="仿宋_GB2312"/>
          <w:sz w:val="32"/>
          <w:szCs w:val="32"/>
        </w:rPr>
        <w:t>（1）甲方要求退货/解除合同的，乙方应自收到甲方退货/解除合同通知之日起</w:t>
      </w:r>
      <w:r>
        <w:rPr>
          <w:rFonts w:eastAsia="仿宋_GB2312"/>
          <w:sz w:val="32"/>
          <w:szCs w:val="32"/>
          <w:u w:val="single"/>
        </w:rPr>
        <w:t>20</w:t>
      </w:r>
      <w:r>
        <w:rPr>
          <w:rFonts w:eastAsia="仿宋_GB2312"/>
          <w:sz w:val="32"/>
          <w:szCs w:val="32"/>
        </w:rPr>
        <w:t>日内全额退还甲方已付货款及利息（利息按同期贷款市场报价利率LPR的</w:t>
      </w:r>
      <w:r>
        <w:rPr>
          <w:rFonts w:eastAsia="仿宋_GB2312"/>
          <w:sz w:val="32"/>
          <w:szCs w:val="32"/>
          <w:u w:val="single"/>
        </w:rPr>
        <w:t>4</w:t>
      </w:r>
      <w:r>
        <w:rPr>
          <w:rFonts w:eastAsia="仿宋_GB2312"/>
          <w:sz w:val="32"/>
          <w:szCs w:val="32"/>
        </w:rPr>
        <w:t>倍计算），并须按甲方已付货款的</w:t>
      </w:r>
      <w:r>
        <w:rPr>
          <w:rFonts w:eastAsia="仿宋_GB2312"/>
          <w:sz w:val="32"/>
          <w:szCs w:val="32"/>
          <w:u w:val="single"/>
        </w:rPr>
        <w:t>20</w:t>
      </w:r>
      <w:r>
        <w:rPr>
          <w:rFonts w:eastAsia="仿宋_GB2312"/>
          <w:sz w:val="32"/>
          <w:szCs w:val="32"/>
        </w:rPr>
        <w:t>％向甲方支付违约金；</w:t>
      </w:r>
    </w:p>
    <w:p>
      <w:pPr>
        <w:spacing w:line="560" w:lineRule="exact"/>
        <w:ind w:firstLine="640" w:firstLineChars="200"/>
        <w:rPr>
          <w:rFonts w:eastAsia="仿宋_GB2312"/>
          <w:sz w:val="32"/>
          <w:szCs w:val="32"/>
        </w:rPr>
      </w:pPr>
      <w:r>
        <w:rPr>
          <w:rFonts w:eastAsia="仿宋_GB2312"/>
          <w:sz w:val="32"/>
          <w:szCs w:val="32"/>
        </w:rPr>
        <w:t>（2）甲方要求换货的，乙方应按甲方的要求及时更换符合约定的货物交付甲方，并对换货部分按本合同的约定承担逾期交货的违约责任。</w:t>
      </w:r>
    </w:p>
    <w:p>
      <w:pPr>
        <w:spacing w:line="560" w:lineRule="exact"/>
        <w:ind w:firstLine="640" w:firstLineChars="200"/>
        <w:rPr>
          <w:rFonts w:eastAsia="仿宋_GB2312"/>
          <w:sz w:val="32"/>
          <w:szCs w:val="32"/>
        </w:rPr>
      </w:pPr>
      <w:r>
        <w:rPr>
          <w:rFonts w:eastAsia="仿宋_GB2312"/>
          <w:sz w:val="32"/>
          <w:szCs w:val="32"/>
        </w:rPr>
        <w:t>（3）甲方同意减价处理的，双方另行协商确定货物减价处理方案。</w:t>
      </w:r>
    </w:p>
    <w:p>
      <w:pPr>
        <w:spacing w:line="560" w:lineRule="exact"/>
        <w:ind w:firstLine="640" w:firstLineChars="200"/>
        <w:rPr>
          <w:rFonts w:eastAsia="仿宋_GB2312"/>
          <w:sz w:val="32"/>
          <w:szCs w:val="32"/>
        </w:rPr>
      </w:pPr>
      <w:r>
        <w:rPr>
          <w:rFonts w:eastAsia="仿宋_GB2312"/>
          <w:sz w:val="32"/>
          <w:szCs w:val="32"/>
        </w:rPr>
        <w:t>4.因乙方原因不能交货或单方解除合同，或乙方累计到货的质量不合格数或安装不合格数占甲方采购总数的</w:t>
      </w:r>
      <w:r>
        <w:rPr>
          <w:rFonts w:eastAsia="仿宋_GB2312"/>
          <w:sz w:val="32"/>
          <w:szCs w:val="32"/>
          <w:u w:val="single"/>
        </w:rPr>
        <w:t>10</w:t>
      </w:r>
      <w:r>
        <w:rPr>
          <w:rFonts w:eastAsia="仿宋_GB2312"/>
          <w:sz w:val="32"/>
          <w:szCs w:val="32"/>
        </w:rPr>
        <w:t>％时，甲方有权解除合同，乙方除退还已收取的货款及利息（按同期贷款市场报价利率LPR的</w:t>
      </w:r>
      <w:r>
        <w:rPr>
          <w:rFonts w:eastAsia="仿宋_GB2312"/>
          <w:sz w:val="32"/>
          <w:szCs w:val="32"/>
          <w:u w:val="single"/>
        </w:rPr>
        <w:t>4</w:t>
      </w:r>
      <w:r>
        <w:rPr>
          <w:rFonts w:eastAsia="仿宋_GB2312"/>
          <w:sz w:val="32"/>
          <w:szCs w:val="32"/>
        </w:rPr>
        <w:t>倍计算）外，还应向甲方支付合同总金额</w:t>
      </w:r>
      <w:r>
        <w:rPr>
          <w:rFonts w:eastAsia="仿宋_GB2312"/>
          <w:sz w:val="32"/>
          <w:szCs w:val="32"/>
          <w:u w:val="single"/>
        </w:rPr>
        <w:t>20</w:t>
      </w:r>
      <w:r>
        <w:rPr>
          <w:rFonts w:eastAsia="仿宋_GB2312"/>
          <w:sz w:val="32"/>
          <w:szCs w:val="32"/>
        </w:rPr>
        <w:t>％的违约金，并赔偿甲方因此所受的损失。</w:t>
      </w:r>
    </w:p>
    <w:p>
      <w:pPr>
        <w:spacing w:line="560" w:lineRule="exact"/>
        <w:ind w:firstLine="640" w:firstLineChars="200"/>
        <w:rPr>
          <w:rFonts w:eastAsia="仿宋_GB2312"/>
          <w:sz w:val="32"/>
          <w:szCs w:val="32"/>
        </w:rPr>
      </w:pPr>
      <w:r>
        <w:rPr>
          <w:rFonts w:eastAsia="仿宋_GB2312"/>
          <w:sz w:val="32"/>
          <w:szCs w:val="32"/>
        </w:rPr>
        <w:t>5.若乙方所供货物已投入使用，而甲方在使用过程中发现使用货物与合同约定不符的，乙方应按合同总金额的</w:t>
      </w:r>
      <w:r>
        <w:rPr>
          <w:rFonts w:eastAsia="仿宋_GB2312"/>
          <w:sz w:val="32"/>
          <w:szCs w:val="32"/>
          <w:u w:val="single"/>
        </w:rPr>
        <w:t>20</w:t>
      </w:r>
      <w:r>
        <w:rPr>
          <w:rFonts w:eastAsia="仿宋_GB2312"/>
          <w:sz w:val="32"/>
          <w:szCs w:val="32"/>
        </w:rPr>
        <w:t>%向甲方支付违约金，乙方应按甲方要求的时限免费更换或修理货物直至满足本合同要求，因此发生的全部费用由乙方承担。如因此造成甲方损失的，乙方还应负责赔偿。</w:t>
      </w:r>
    </w:p>
    <w:p>
      <w:pPr>
        <w:spacing w:line="560" w:lineRule="exact"/>
        <w:ind w:firstLine="640" w:firstLineChars="200"/>
        <w:rPr>
          <w:rFonts w:eastAsia="仿宋_GB2312"/>
          <w:sz w:val="32"/>
          <w:szCs w:val="32"/>
        </w:rPr>
      </w:pPr>
      <w:r>
        <w:rPr>
          <w:rFonts w:eastAsia="仿宋_GB2312"/>
          <w:sz w:val="32"/>
          <w:szCs w:val="32"/>
        </w:rPr>
        <w:t>6.本合同项下的各项工作（如安装、调试等），乙方应亲自完成，没有甲方的书面同意，乙方不得委托第三方进行，否则乙方应按合同总金额的</w:t>
      </w:r>
      <w:r>
        <w:rPr>
          <w:rFonts w:eastAsia="仿宋_GB2312"/>
          <w:sz w:val="32"/>
          <w:szCs w:val="32"/>
          <w:u w:val="single"/>
        </w:rPr>
        <w:t>20</w:t>
      </w:r>
      <w:r>
        <w:rPr>
          <w:rFonts w:eastAsia="仿宋_GB2312"/>
          <w:sz w:val="32"/>
          <w:szCs w:val="32"/>
        </w:rPr>
        <w:t xml:space="preserve"> %向甲方支付违约金，同时甲方有权单方面解除本合同，</w:t>
      </w:r>
      <w:bookmarkStart w:id="139" w:name="_Hlk102737200"/>
      <w:r>
        <w:rPr>
          <w:rFonts w:eastAsia="仿宋_GB2312"/>
          <w:sz w:val="32"/>
          <w:szCs w:val="32"/>
        </w:rPr>
        <w:t>乙方应退还甲方已支付的货款，且甲方不再</w:t>
      </w:r>
      <w:bookmarkEnd w:id="139"/>
      <w:r>
        <w:rPr>
          <w:rFonts w:eastAsia="仿宋_GB2312"/>
          <w:sz w:val="32"/>
          <w:szCs w:val="32"/>
        </w:rPr>
        <w:t>支付未付款项。</w:t>
      </w:r>
    </w:p>
    <w:p>
      <w:pPr>
        <w:spacing w:line="560" w:lineRule="exact"/>
        <w:ind w:firstLine="640" w:firstLineChars="200"/>
        <w:rPr>
          <w:rFonts w:eastAsia="仿宋_GB2312"/>
          <w:sz w:val="32"/>
          <w:szCs w:val="32"/>
        </w:rPr>
      </w:pPr>
      <w:r>
        <w:rPr>
          <w:rFonts w:eastAsia="仿宋_GB2312"/>
          <w:sz w:val="32"/>
          <w:szCs w:val="32"/>
        </w:rPr>
        <w:t>7.如因乙方责任，甲方把已收货物退还给乙方的，相关搬运、运输和投保费用均由乙方负责，甲方对货物在此期间发生的毁损、灭失的风险不承担责任。</w:t>
      </w:r>
    </w:p>
    <w:p>
      <w:pPr>
        <w:spacing w:line="560" w:lineRule="exact"/>
        <w:ind w:firstLine="640" w:firstLineChars="200"/>
        <w:rPr>
          <w:rFonts w:eastAsia="仿宋_GB2312"/>
          <w:sz w:val="32"/>
          <w:szCs w:val="32"/>
        </w:rPr>
      </w:pPr>
      <w:r>
        <w:rPr>
          <w:rFonts w:eastAsia="仿宋_GB2312"/>
          <w:sz w:val="32"/>
          <w:szCs w:val="32"/>
        </w:rPr>
        <w:t>（三）未经本合同另一方事先书面同意，任何一方均无权转让本合同或本合同中的任何权利或义务。若违反本条约定的，转让行为无效，违约方应按本合同总金额的</w:t>
      </w:r>
      <w:r>
        <w:rPr>
          <w:rFonts w:eastAsia="仿宋_GB2312"/>
          <w:sz w:val="32"/>
          <w:szCs w:val="32"/>
          <w:u w:val="single"/>
        </w:rPr>
        <w:t>20</w:t>
      </w:r>
      <w:r>
        <w:rPr>
          <w:rFonts w:eastAsia="仿宋_GB2312"/>
          <w:sz w:val="32"/>
          <w:szCs w:val="32"/>
        </w:rPr>
        <w:t>％向守约方支付违约金，守约方有权视具体情况单方面解除合同或要求继续履行合同。</w:t>
      </w:r>
    </w:p>
    <w:p>
      <w:pPr>
        <w:spacing w:line="560" w:lineRule="exact"/>
        <w:ind w:firstLine="640" w:firstLineChars="200"/>
        <w:rPr>
          <w:rFonts w:eastAsia="仿宋_GB2312"/>
          <w:sz w:val="32"/>
          <w:szCs w:val="32"/>
        </w:rPr>
      </w:pPr>
      <w:r>
        <w:rPr>
          <w:rFonts w:eastAsia="仿宋_GB2312"/>
          <w:sz w:val="32"/>
          <w:szCs w:val="32"/>
        </w:rPr>
        <w:t>（四）因违约方的行为造成守约方损失的，违约方除支付本合同约定的违约金外，还应全额赔偿守约方的损失（包括实际损失和合同履行后可以获得的利益，以及守约方追究违约方责任而支出的诉讼或仲裁费、合理的调查费、检验检测费、律师费、公证费、保全费、</w:t>
      </w:r>
      <w:bookmarkStart w:id="140" w:name="_Hlk102737216"/>
      <w:r>
        <w:rPr>
          <w:rFonts w:eastAsia="仿宋_GB2312"/>
          <w:sz w:val="32"/>
          <w:szCs w:val="32"/>
        </w:rPr>
        <w:t>保全责任保险费、</w:t>
      </w:r>
      <w:bookmarkEnd w:id="140"/>
      <w:r>
        <w:rPr>
          <w:rFonts w:eastAsia="仿宋_GB2312"/>
          <w:sz w:val="32"/>
          <w:szCs w:val="32"/>
        </w:rPr>
        <w:t>强制执行费等相关费用）</w:t>
      </w:r>
    </w:p>
    <w:p>
      <w:pPr>
        <w:spacing w:line="560" w:lineRule="exact"/>
        <w:ind w:firstLine="640" w:firstLineChars="200"/>
        <w:rPr>
          <w:rFonts w:eastAsia="仿宋_GB2312"/>
          <w:sz w:val="32"/>
          <w:szCs w:val="32"/>
        </w:rPr>
      </w:pPr>
      <w:r>
        <w:rPr>
          <w:rFonts w:eastAsia="仿宋_GB2312"/>
          <w:sz w:val="32"/>
          <w:szCs w:val="32"/>
        </w:rPr>
        <w:t>（五）如果乙方有赔偿和/或支付违约金的责任，则甲方有权从最近一笔付款中扣除相应金额。如果最近一笔付款不足以抵扣的，则甲方可从下一笔付款中继续扣除。前述扣除金额仍不足以抵扣的，甲方有权从履约保证金中继续扣除。</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十、不可抗力条款</w:t>
      </w:r>
    </w:p>
    <w:p>
      <w:pPr>
        <w:spacing w:line="560" w:lineRule="exact"/>
        <w:ind w:firstLine="640" w:firstLineChars="200"/>
        <w:rPr>
          <w:rFonts w:eastAsia="仿宋_GB2312"/>
          <w:sz w:val="32"/>
          <w:szCs w:val="32"/>
        </w:rPr>
      </w:pPr>
      <w:r>
        <w:rPr>
          <w:rFonts w:eastAsia="仿宋_GB2312"/>
          <w:sz w:val="32"/>
          <w:szCs w:val="32"/>
        </w:rPr>
        <w:t>（一）本合同所指不可抗力，是指不能预见、不能避免并不能克服的客观情况。</w:t>
      </w:r>
    </w:p>
    <w:p>
      <w:pPr>
        <w:spacing w:line="560" w:lineRule="exact"/>
        <w:ind w:firstLine="640" w:firstLineChars="200"/>
        <w:rPr>
          <w:rFonts w:eastAsia="仿宋_GB2312"/>
          <w:sz w:val="32"/>
          <w:szCs w:val="32"/>
        </w:rPr>
      </w:pPr>
      <w:r>
        <w:rPr>
          <w:rFonts w:eastAsia="仿宋_GB2312"/>
          <w:sz w:val="32"/>
          <w:szCs w:val="32"/>
        </w:rPr>
        <w:t>（二）由于不可抗力事件，致使一方在履行其在本合同项下的义务过程中遇到障碍或延误，不能按约定的条款全部或部分履行其义务的，遇到不可抗力事件的一方（以下简称“受阻方”），只要满足下列所有条件，可免于承担违约责任：</w:t>
      </w:r>
    </w:p>
    <w:p>
      <w:pPr>
        <w:spacing w:line="560" w:lineRule="exact"/>
        <w:ind w:firstLine="640" w:firstLineChars="200"/>
        <w:rPr>
          <w:rFonts w:eastAsia="仿宋_GB2312"/>
          <w:sz w:val="32"/>
          <w:szCs w:val="32"/>
        </w:rPr>
      </w:pPr>
      <w:r>
        <w:rPr>
          <w:rFonts w:eastAsia="仿宋_GB2312"/>
          <w:sz w:val="32"/>
          <w:szCs w:val="32"/>
        </w:rPr>
        <w:t>1.受阻方不能全部或部分履行其义务，是由于不可抗力事件直接造成的，且在不可抗力发生前受阻方不存在迟延履行相关义务的情形；</w:t>
      </w:r>
    </w:p>
    <w:p>
      <w:pPr>
        <w:spacing w:line="560" w:lineRule="exact"/>
        <w:ind w:firstLine="640" w:firstLineChars="200"/>
        <w:rPr>
          <w:rFonts w:eastAsia="仿宋_GB2312"/>
          <w:sz w:val="32"/>
          <w:szCs w:val="32"/>
        </w:rPr>
      </w:pPr>
      <w:r>
        <w:rPr>
          <w:rFonts w:eastAsia="仿宋_GB2312"/>
          <w:sz w:val="32"/>
          <w:szCs w:val="32"/>
        </w:rPr>
        <w:t>2.受阻方已尽最大努力履行其义务并减少由于不可抗力事件给另一方造成的损失；</w:t>
      </w:r>
    </w:p>
    <w:p>
      <w:pPr>
        <w:spacing w:line="560" w:lineRule="exact"/>
        <w:ind w:firstLine="640" w:firstLineChars="200"/>
        <w:rPr>
          <w:rFonts w:eastAsia="仿宋_GB2312"/>
          <w:sz w:val="32"/>
          <w:szCs w:val="32"/>
        </w:rPr>
      </w:pPr>
      <w:r>
        <w:rPr>
          <w:rFonts w:eastAsia="仿宋_GB2312"/>
          <w:sz w:val="32"/>
          <w:szCs w:val="32"/>
        </w:rPr>
        <w:t>3.不可抗力事件发生时，受阻方已立即通知对方，并在不可抗力事件发生后的十五日内提供有关该事件的公证文书或政府机构出具的证明文件，并附相应的书面说明，书面说明中应包括对延迟履行或部分履行本合同的原因说明。</w:t>
      </w:r>
    </w:p>
    <w:p>
      <w:pPr>
        <w:spacing w:line="560" w:lineRule="exact"/>
        <w:ind w:firstLine="640" w:firstLineChars="200"/>
        <w:rPr>
          <w:rFonts w:eastAsia="仿宋_GB2312"/>
          <w:sz w:val="32"/>
          <w:szCs w:val="32"/>
        </w:rPr>
      </w:pPr>
      <w:r>
        <w:rPr>
          <w:rFonts w:eastAsia="仿宋_GB2312"/>
          <w:sz w:val="32"/>
          <w:szCs w:val="32"/>
        </w:rPr>
        <w:t>（三）不可抗力事件终止或被排除后，受阻方应继续履行本合同，并应尽快通知另一方。受阻方可相应延长履行义务的期限。</w:t>
      </w:r>
    </w:p>
    <w:p>
      <w:pPr>
        <w:spacing w:line="560" w:lineRule="exact"/>
        <w:ind w:firstLine="640" w:firstLineChars="200"/>
        <w:rPr>
          <w:rFonts w:eastAsia="仿宋_GB2312"/>
          <w:sz w:val="32"/>
          <w:szCs w:val="32"/>
        </w:rPr>
      </w:pPr>
      <w:r>
        <w:rPr>
          <w:rFonts w:eastAsia="仿宋_GB2312"/>
          <w:sz w:val="32"/>
          <w:szCs w:val="32"/>
        </w:rPr>
        <w:t>（四）如果不可抗力事件的影响持续达三十日或以上时，双方应根据该事件对本合同履行的影响程度协商对合同进行的修改或终止履行。如在一方发出协商书面通知之日起十日内双方无法就此达成一致，任何一方均有权解除本合同且无须承担违约责任。</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十一、争议解决条款</w:t>
      </w:r>
    </w:p>
    <w:p>
      <w:pPr>
        <w:spacing w:line="560" w:lineRule="exact"/>
        <w:ind w:firstLine="640" w:firstLineChars="200"/>
        <w:rPr>
          <w:rFonts w:eastAsia="仿宋_GB2312"/>
          <w:sz w:val="32"/>
          <w:szCs w:val="32"/>
        </w:rPr>
      </w:pPr>
      <w:r>
        <w:rPr>
          <w:rFonts w:eastAsia="仿宋_GB2312"/>
          <w:sz w:val="32"/>
          <w:szCs w:val="32"/>
        </w:rPr>
        <w:t>（一）双方在履行合同过程中，如发生争议而双方通过协商不能解决的，则双方同意按下列第</w:t>
      </w:r>
      <w:r>
        <w:rPr>
          <w:rFonts w:hint="eastAsia" w:eastAsia="仿宋_GB2312"/>
          <w:sz w:val="32"/>
          <w:szCs w:val="32"/>
          <w:u w:val="single"/>
        </w:rPr>
        <w:t xml:space="preserve"> </w:t>
      </w:r>
      <w:r>
        <w:rPr>
          <w:rFonts w:eastAsia="仿宋_GB2312"/>
          <w:sz w:val="32"/>
          <w:szCs w:val="32"/>
          <w:u w:val="single"/>
        </w:rPr>
        <w:t>2</w:t>
      </w:r>
      <w:r>
        <w:rPr>
          <w:rFonts w:eastAsia="仿宋_GB2312"/>
          <w:sz w:val="32"/>
          <w:szCs w:val="32"/>
        </w:rPr>
        <w:t>种方式解决：</w:t>
      </w:r>
    </w:p>
    <w:p>
      <w:pPr>
        <w:spacing w:line="560" w:lineRule="exact"/>
        <w:ind w:firstLine="640" w:firstLineChars="200"/>
        <w:rPr>
          <w:rFonts w:eastAsia="仿宋_GB2312"/>
          <w:sz w:val="32"/>
          <w:szCs w:val="32"/>
        </w:rPr>
      </w:pPr>
      <w:r>
        <w:rPr>
          <w:rFonts w:eastAsia="仿宋_GB2312"/>
          <w:sz w:val="32"/>
          <w:szCs w:val="32"/>
        </w:rPr>
        <w:t>1.将该争议提交至</w:t>
      </w:r>
      <w:r>
        <w:rPr>
          <w:rFonts w:hint="eastAsia" w:eastAsia="仿宋_GB2312"/>
          <w:sz w:val="32"/>
          <w:szCs w:val="32"/>
          <w:u w:val="single"/>
        </w:rPr>
        <w:t xml:space="preserve"> </w:t>
      </w:r>
      <w:r>
        <w:rPr>
          <w:rFonts w:eastAsia="仿宋_GB2312"/>
          <w:sz w:val="32"/>
          <w:szCs w:val="32"/>
          <w:u w:val="single"/>
        </w:rPr>
        <w:t>梧州</w:t>
      </w:r>
      <w:r>
        <w:rPr>
          <w:rFonts w:hint="eastAsia" w:eastAsia="仿宋_GB2312"/>
          <w:sz w:val="32"/>
          <w:szCs w:val="32"/>
          <w:u w:val="single"/>
        </w:rPr>
        <w:t xml:space="preserve"> </w:t>
      </w:r>
      <w:r>
        <w:rPr>
          <w:rFonts w:eastAsia="仿宋_GB2312"/>
          <w:sz w:val="32"/>
          <w:szCs w:val="32"/>
        </w:rPr>
        <w:t>仲裁委员会，并依据该仲裁委员会现行有效的仲裁规则进行仲裁。</w:t>
      </w:r>
    </w:p>
    <w:p>
      <w:pPr>
        <w:spacing w:line="560" w:lineRule="exact"/>
        <w:ind w:firstLine="640" w:firstLineChars="200"/>
        <w:rPr>
          <w:rFonts w:eastAsia="仿宋_GB2312"/>
          <w:sz w:val="32"/>
          <w:szCs w:val="32"/>
        </w:rPr>
      </w:pPr>
      <w:r>
        <w:rPr>
          <w:rFonts w:eastAsia="仿宋_GB2312"/>
          <w:sz w:val="32"/>
          <w:szCs w:val="32"/>
        </w:rPr>
        <w:t>仲裁裁决是终局的，对双方具有约束力，并可依法申请强制执行。除非仲裁裁决有不同规定，败诉方应支付双方因仲裁所发生的一切法律费用，包括但不限于律师费。</w:t>
      </w:r>
    </w:p>
    <w:p>
      <w:pPr>
        <w:spacing w:line="560" w:lineRule="exact"/>
        <w:ind w:firstLine="640" w:firstLineChars="200"/>
        <w:rPr>
          <w:rFonts w:eastAsia="仿宋_GB2312"/>
          <w:sz w:val="32"/>
          <w:szCs w:val="32"/>
        </w:rPr>
      </w:pPr>
      <w:r>
        <w:rPr>
          <w:rFonts w:eastAsia="仿宋_GB2312"/>
          <w:sz w:val="32"/>
          <w:szCs w:val="32"/>
        </w:rPr>
        <w:t>2.向甲方营业执照登记的住所地有管辖权的人民法院提起诉讼解决。</w:t>
      </w:r>
    </w:p>
    <w:p>
      <w:pPr>
        <w:spacing w:line="560" w:lineRule="exact"/>
        <w:ind w:firstLine="640" w:firstLineChars="200"/>
        <w:rPr>
          <w:rFonts w:eastAsia="仿宋_GB2312"/>
          <w:sz w:val="32"/>
          <w:szCs w:val="32"/>
        </w:rPr>
      </w:pPr>
      <w:r>
        <w:rPr>
          <w:rFonts w:eastAsia="仿宋_GB2312"/>
          <w:sz w:val="32"/>
          <w:szCs w:val="32"/>
        </w:rPr>
        <w:t>（二）双方同意使用本合同通知与送达条款规定的方式送达与仲裁或强制执行仲裁裁决有关的传票、通知或其他文件。本合同通知与送达条款中的任何规定均不应影响一方以法律允许的其他方式送达上述传票、通知或其他文件的权利。</w:t>
      </w:r>
    </w:p>
    <w:p>
      <w:pPr>
        <w:spacing w:line="560" w:lineRule="exact"/>
        <w:ind w:firstLine="640" w:firstLineChars="200"/>
        <w:rPr>
          <w:rFonts w:eastAsia="仿宋_GB2312"/>
          <w:sz w:val="32"/>
          <w:szCs w:val="32"/>
        </w:rPr>
      </w:pPr>
      <w:r>
        <w:rPr>
          <w:rFonts w:eastAsia="仿宋_GB2312"/>
          <w:sz w:val="32"/>
          <w:szCs w:val="32"/>
        </w:rPr>
        <w:t>（三）本争议解决条款独立于本合同其他条款内容，本合同其他条款内容无效、被撤销或终止的，本条款内容依然有效。</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十二、通知送达条款</w:t>
      </w:r>
    </w:p>
    <w:p>
      <w:pPr>
        <w:spacing w:line="560" w:lineRule="exact"/>
        <w:ind w:firstLine="640" w:firstLineChars="200"/>
        <w:rPr>
          <w:rFonts w:eastAsia="仿宋_GB2312"/>
          <w:sz w:val="32"/>
          <w:szCs w:val="32"/>
        </w:rPr>
      </w:pPr>
      <w:r>
        <w:rPr>
          <w:rFonts w:eastAsia="仿宋_GB2312"/>
          <w:sz w:val="32"/>
          <w:szCs w:val="32"/>
        </w:rPr>
        <w:t>（一）根据本合同需要发出的全部通知，均须采取书面形式，以（A）专人递送，（B）特快专递，（C）传真或（D）挂号信件方式发出。特快专递或挂号信件的交寄日以邮戳为准。上述书面通知均须标明合同对方为收件人。</w:t>
      </w:r>
    </w:p>
    <w:p>
      <w:pPr>
        <w:spacing w:line="560" w:lineRule="exact"/>
        <w:ind w:firstLine="640" w:firstLineChars="200"/>
        <w:rPr>
          <w:rFonts w:eastAsia="仿宋_GB2312"/>
          <w:sz w:val="32"/>
          <w:szCs w:val="32"/>
        </w:rPr>
      </w:pPr>
      <w:r>
        <w:rPr>
          <w:rFonts w:eastAsia="仿宋_GB2312"/>
          <w:sz w:val="32"/>
          <w:szCs w:val="32"/>
        </w:rPr>
        <w:t>（二）上述书面通知按对方在本条第（四）项中所列的地址发出，并按本条第（三）项规定时间视为已经送达。如任何一方的地址有变更时，须在变更前十日以书面形式通知对方，否则造成延迟通知或通知不能的，由此产生的后果由过错方承担。</w:t>
      </w:r>
    </w:p>
    <w:p>
      <w:pPr>
        <w:spacing w:line="560" w:lineRule="exact"/>
        <w:ind w:firstLine="640" w:firstLineChars="200"/>
        <w:rPr>
          <w:rFonts w:eastAsia="仿宋_GB2312"/>
          <w:sz w:val="32"/>
          <w:szCs w:val="32"/>
        </w:rPr>
      </w:pPr>
      <w:r>
        <w:rPr>
          <w:rFonts w:eastAsia="仿宋_GB2312"/>
          <w:sz w:val="32"/>
          <w:szCs w:val="32"/>
        </w:rPr>
        <w:t>（三）双方按如下规定确定通知被视为正式送达的日期：</w:t>
      </w:r>
    </w:p>
    <w:p>
      <w:pPr>
        <w:spacing w:line="560" w:lineRule="exact"/>
        <w:ind w:firstLine="640" w:firstLineChars="200"/>
        <w:rPr>
          <w:rFonts w:eastAsia="仿宋_GB2312"/>
          <w:sz w:val="32"/>
          <w:szCs w:val="32"/>
        </w:rPr>
      </w:pPr>
      <w:r>
        <w:rPr>
          <w:rFonts w:eastAsia="仿宋_GB2312"/>
          <w:sz w:val="32"/>
          <w:szCs w:val="32"/>
        </w:rPr>
        <w:t>1.以专人递送的，双方在本合同约定的收件人签收之日视为送达日期。</w:t>
      </w:r>
    </w:p>
    <w:p>
      <w:pPr>
        <w:spacing w:line="560" w:lineRule="exact"/>
        <w:ind w:firstLine="640" w:firstLineChars="200"/>
        <w:rPr>
          <w:rFonts w:eastAsia="仿宋_GB2312"/>
          <w:sz w:val="32"/>
          <w:szCs w:val="32"/>
        </w:rPr>
      </w:pPr>
      <w:r>
        <w:rPr>
          <w:rFonts w:eastAsia="仿宋_GB2312"/>
          <w:sz w:val="32"/>
          <w:szCs w:val="32"/>
        </w:rPr>
        <w:t>2.以传真方式发出的，以发件方发送后打印出的发送确认单所示时间视为送达日期。</w:t>
      </w:r>
    </w:p>
    <w:p>
      <w:pPr>
        <w:spacing w:line="560" w:lineRule="exact"/>
        <w:ind w:firstLine="640" w:firstLineChars="200"/>
        <w:rPr>
          <w:rFonts w:eastAsia="仿宋_GB2312"/>
          <w:sz w:val="32"/>
          <w:szCs w:val="32"/>
        </w:rPr>
      </w:pPr>
      <w:r>
        <w:rPr>
          <w:rFonts w:eastAsia="仿宋_GB2312"/>
          <w:sz w:val="32"/>
          <w:szCs w:val="32"/>
        </w:rPr>
        <w:t>3.以特快专递形式发出的，发往本市市内的，发出后第二日视为送达。发往内地其他地区的，发出后第三日视为送达。发往港、澳、台地区的，发出后第四日视为送达。发往境外其他国家或地区的，发出后第六日视为送达。</w:t>
      </w:r>
    </w:p>
    <w:p>
      <w:pPr>
        <w:spacing w:line="560" w:lineRule="exact"/>
        <w:ind w:firstLine="640" w:firstLineChars="200"/>
        <w:rPr>
          <w:rFonts w:eastAsia="仿宋_GB2312"/>
          <w:sz w:val="32"/>
          <w:szCs w:val="32"/>
        </w:rPr>
      </w:pPr>
      <w:r>
        <w:rPr>
          <w:rFonts w:eastAsia="仿宋_GB2312"/>
          <w:sz w:val="32"/>
          <w:szCs w:val="32"/>
        </w:rPr>
        <w:t>4.以挂号方式发出的，发往本市市内的，邮寄后第三日视为送达。发往内地其他地区的，邮寄后第四日视为送达。发往港、澳、台地区的，邮寄后第五日视为送达。发往境外其他国家或地区的，邮寄后第七日视为送达。</w:t>
      </w:r>
    </w:p>
    <w:p>
      <w:pPr>
        <w:spacing w:line="520" w:lineRule="exact"/>
        <w:ind w:firstLine="640" w:firstLineChars="200"/>
        <w:rPr>
          <w:rFonts w:eastAsia="仿宋_GB2312"/>
          <w:sz w:val="32"/>
          <w:szCs w:val="32"/>
        </w:rPr>
      </w:pPr>
      <w:r>
        <w:rPr>
          <w:rFonts w:eastAsia="仿宋_GB2312"/>
          <w:sz w:val="32"/>
          <w:szCs w:val="32"/>
        </w:rPr>
        <w:t>（四）各方地址与联系方式如下</w:t>
      </w:r>
    </w:p>
    <w:p>
      <w:pPr>
        <w:spacing w:line="540" w:lineRule="exact"/>
        <w:ind w:firstLine="640" w:firstLineChars="200"/>
        <w:rPr>
          <w:rFonts w:eastAsia="仿宋_GB2312"/>
          <w:sz w:val="32"/>
          <w:szCs w:val="32"/>
        </w:rPr>
      </w:pPr>
      <w:r>
        <w:rPr>
          <w:rFonts w:eastAsia="仿宋_GB2312"/>
          <w:sz w:val="32"/>
          <w:szCs w:val="32"/>
        </w:rPr>
        <w:t>甲方：</w:t>
      </w:r>
    </w:p>
    <w:p>
      <w:pPr>
        <w:spacing w:line="540" w:lineRule="exact"/>
        <w:ind w:firstLine="640" w:firstLineChars="200"/>
        <w:rPr>
          <w:rFonts w:eastAsia="仿宋_GB2312"/>
          <w:sz w:val="32"/>
          <w:szCs w:val="32"/>
        </w:rPr>
      </w:pPr>
      <w:r>
        <w:rPr>
          <w:rFonts w:eastAsia="仿宋_GB2312"/>
          <w:sz w:val="32"/>
          <w:szCs w:val="32"/>
        </w:rPr>
        <w:t>地址：</w:t>
      </w:r>
    </w:p>
    <w:p>
      <w:pPr>
        <w:spacing w:line="540" w:lineRule="exact"/>
        <w:ind w:firstLine="640" w:firstLineChars="200"/>
        <w:rPr>
          <w:rFonts w:eastAsia="仿宋_GB2312"/>
          <w:sz w:val="32"/>
          <w:szCs w:val="32"/>
        </w:rPr>
      </w:pPr>
      <w:r>
        <w:rPr>
          <w:rFonts w:eastAsia="仿宋_GB2312"/>
          <w:sz w:val="32"/>
          <w:szCs w:val="32"/>
        </w:rPr>
        <w:t>电话：</w:t>
      </w:r>
    </w:p>
    <w:p>
      <w:pPr>
        <w:spacing w:line="540" w:lineRule="exact"/>
        <w:ind w:firstLine="640" w:firstLineChars="200"/>
        <w:rPr>
          <w:rFonts w:eastAsia="仿宋_GB2312"/>
          <w:sz w:val="32"/>
          <w:szCs w:val="32"/>
        </w:rPr>
      </w:pPr>
      <w:r>
        <w:rPr>
          <w:rFonts w:eastAsia="仿宋_GB2312"/>
          <w:sz w:val="32"/>
          <w:szCs w:val="32"/>
        </w:rPr>
        <w:t>传真：</w:t>
      </w:r>
    </w:p>
    <w:p>
      <w:pPr>
        <w:spacing w:line="540" w:lineRule="exact"/>
        <w:ind w:firstLine="640" w:firstLineChars="200"/>
        <w:rPr>
          <w:rFonts w:eastAsia="仿宋_GB2312"/>
          <w:sz w:val="32"/>
          <w:szCs w:val="32"/>
        </w:rPr>
      </w:pPr>
      <w:r>
        <w:rPr>
          <w:rFonts w:eastAsia="仿宋_GB2312"/>
          <w:sz w:val="32"/>
          <w:szCs w:val="32"/>
        </w:rPr>
        <w:t>邮政编码：</w:t>
      </w:r>
    </w:p>
    <w:p>
      <w:pPr>
        <w:spacing w:line="540" w:lineRule="exact"/>
        <w:ind w:firstLine="640" w:firstLineChars="200"/>
        <w:rPr>
          <w:rFonts w:eastAsia="仿宋_GB2312"/>
          <w:sz w:val="32"/>
          <w:szCs w:val="32"/>
        </w:rPr>
      </w:pPr>
      <w:r>
        <w:rPr>
          <w:rFonts w:eastAsia="仿宋_GB2312"/>
          <w:sz w:val="32"/>
          <w:szCs w:val="32"/>
        </w:rPr>
        <w:t>收件人：</w:t>
      </w:r>
    </w:p>
    <w:p>
      <w:pPr>
        <w:spacing w:line="560" w:lineRule="exact"/>
        <w:ind w:firstLine="640" w:firstLineChars="200"/>
        <w:rPr>
          <w:rFonts w:eastAsia="仿宋_GB2312"/>
          <w:sz w:val="32"/>
          <w:szCs w:val="32"/>
        </w:rPr>
      </w:pPr>
      <w:r>
        <w:rPr>
          <w:rFonts w:eastAsia="仿宋_GB2312"/>
          <w:sz w:val="32"/>
          <w:szCs w:val="32"/>
        </w:rPr>
        <w:t>乙方：</w:t>
      </w:r>
    </w:p>
    <w:p>
      <w:pPr>
        <w:spacing w:line="560" w:lineRule="exact"/>
        <w:ind w:firstLine="640" w:firstLineChars="200"/>
        <w:rPr>
          <w:rFonts w:eastAsia="仿宋_GB2312"/>
          <w:sz w:val="32"/>
          <w:szCs w:val="32"/>
        </w:rPr>
      </w:pPr>
      <w:r>
        <w:rPr>
          <w:rFonts w:eastAsia="仿宋_GB2312"/>
          <w:sz w:val="32"/>
          <w:szCs w:val="32"/>
        </w:rPr>
        <w:t>地址：</w:t>
      </w:r>
    </w:p>
    <w:p>
      <w:pPr>
        <w:spacing w:line="560" w:lineRule="exact"/>
        <w:ind w:firstLine="640" w:firstLineChars="200"/>
        <w:rPr>
          <w:rFonts w:eastAsia="仿宋_GB2312"/>
          <w:sz w:val="32"/>
          <w:szCs w:val="32"/>
        </w:rPr>
      </w:pPr>
      <w:r>
        <w:rPr>
          <w:rFonts w:eastAsia="仿宋_GB2312"/>
          <w:sz w:val="32"/>
          <w:szCs w:val="32"/>
        </w:rPr>
        <w:t>电话：</w:t>
      </w:r>
    </w:p>
    <w:p>
      <w:pPr>
        <w:spacing w:line="560" w:lineRule="exact"/>
        <w:ind w:firstLine="640" w:firstLineChars="200"/>
        <w:rPr>
          <w:rFonts w:eastAsia="仿宋_GB2312"/>
          <w:sz w:val="32"/>
          <w:szCs w:val="32"/>
        </w:rPr>
      </w:pPr>
      <w:r>
        <w:rPr>
          <w:rFonts w:eastAsia="仿宋_GB2312"/>
          <w:sz w:val="32"/>
          <w:szCs w:val="32"/>
        </w:rPr>
        <w:t>传真：</w:t>
      </w:r>
    </w:p>
    <w:p>
      <w:pPr>
        <w:spacing w:line="560" w:lineRule="exact"/>
        <w:ind w:firstLine="640" w:firstLineChars="200"/>
        <w:rPr>
          <w:rFonts w:eastAsia="仿宋_GB2312"/>
          <w:sz w:val="32"/>
          <w:szCs w:val="32"/>
        </w:rPr>
      </w:pPr>
      <w:r>
        <w:rPr>
          <w:rFonts w:eastAsia="仿宋_GB2312"/>
          <w:sz w:val="32"/>
          <w:szCs w:val="32"/>
        </w:rPr>
        <w:t>邮政编码：</w:t>
      </w:r>
    </w:p>
    <w:p>
      <w:pPr>
        <w:spacing w:line="560" w:lineRule="exact"/>
        <w:ind w:firstLine="640" w:firstLineChars="200"/>
        <w:rPr>
          <w:rFonts w:eastAsia="仿宋_GB2312"/>
          <w:sz w:val="32"/>
          <w:szCs w:val="32"/>
        </w:rPr>
      </w:pPr>
      <w:r>
        <w:rPr>
          <w:rFonts w:eastAsia="仿宋_GB2312"/>
          <w:sz w:val="32"/>
          <w:szCs w:val="32"/>
        </w:rPr>
        <w:t>收件人：</w:t>
      </w:r>
    </w:p>
    <w:p>
      <w:pPr>
        <w:spacing w:line="560" w:lineRule="exact"/>
        <w:ind w:firstLine="640" w:firstLineChars="200"/>
        <w:rPr>
          <w:rFonts w:eastAsia="仿宋_GB2312"/>
          <w:sz w:val="32"/>
          <w:szCs w:val="32"/>
        </w:rPr>
      </w:pPr>
      <w:r>
        <w:rPr>
          <w:rFonts w:eastAsia="仿宋_GB2312"/>
          <w:sz w:val="32"/>
          <w:szCs w:val="32"/>
        </w:rPr>
        <w:t>（五）本合同项下的通知自送达之日发生效力。</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十三、法律适用条款</w:t>
      </w:r>
    </w:p>
    <w:p>
      <w:pPr>
        <w:spacing w:line="560" w:lineRule="exact"/>
        <w:ind w:firstLine="640" w:firstLineChars="200"/>
        <w:rPr>
          <w:rFonts w:eastAsia="仿宋_GB2312"/>
          <w:sz w:val="32"/>
          <w:szCs w:val="32"/>
        </w:rPr>
      </w:pPr>
      <w:r>
        <w:rPr>
          <w:rFonts w:eastAsia="仿宋_GB2312"/>
          <w:sz w:val="32"/>
          <w:szCs w:val="32"/>
        </w:rPr>
        <w:t>本合同的成立、效力、解释、履行、签署、修订和终止以及争议的解决均应适用中华人民共和国法律。</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十四、合同附件条款</w:t>
      </w:r>
    </w:p>
    <w:p>
      <w:pPr>
        <w:spacing w:line="560" w:lineRule="exact"/>
        <w:ind w:firstLine="640" w:firstLineChars="200"/>
        <w:rPr>
          <w:rFonts w:eastAsia="仿宋_GB2312"/>
          <w:sz w:val="32"/>
          <w:szCs w:val="32"/>
        </w:rPr>
      </w:pPr>
      <w:r>
        <w:rPr>
          <w:rFonts w:eastAsia="仿宋_GB2312"/>
          <w:sz w:val="32"/>
          <w:szCs w:val="32"/>
        </w:rPr>
        <w:t>经双方确认的合同附件作为本合同的组成部分，与本合同正文具有同等法律效力。若合同附件与合同正文有任何冲突，以合同正文为准。</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十五、生效条款</w:t>
      </w:r>
    </w:p>
    <w:p>
      <w:pPr>
        <w:spacing w:line="560" w:lineRule="exact"/>
        <w:ind w:firstLine="640" w:firstLineChars="200"/>
        <w:rPr>
          <w:rFonts w:eastAsia="仿宋_GB2312"/>
          <w:sz w:val="32"/>
          <w:szCs w:val="32"/>
        </w:rPr>
      </w:pPr>
      <w:r>
        <w:rPr>
          <w:rFonts w:eastAsia="仿宋_GB2312"/>
          <w:sz w:val="32"/>
          <w:szCs w:val="32"/>
        </w:rPr>
        <w:t>本合同自双方法定代表人或委托代理人签字并加盖双方单位公章之日起生效。如由委托代理人签署的，签字前应向对方提供其委托代理人有权签署本合同的合法授权文件。合同原件一式陆份，双方各执叁份，具有同等法律效力。</w:t>
      </w:r>
    </w:p>
    <w:p>
      <w:pPr>
        <w:spacing w:line="560" w:lineRule="exact"/>
        <w:ind w:firstLine="640" w:firstLineChars="200"/>
        <w:rPr>
          <w:rFonts w:hint="eastAsia" w:ascii="黑体" w:hAnsi="黑体" w:eastAsia="黑体"/>
          <w:bCs/>
          <w:sz w:val="32"/>
          <w:szCs w:val="32"/>
        </w:rPr>
      </w:pPr>
      <w:r>
        <w:rPr>
          <w:rFonts w:ascii="黑体" w:hAnsi="黑体" w:eastAsia="黑体"/>
          <w:bCs/>
          <w:sz w:val="32"/>
          <w:szCs w:val="32"/>
        </w:rPr>
        <w:t>十六、合同文本条款</w:t>
      </w:r>
    </w:p>
    <w:p>
      <w:pPr>
        <w:spacing w:line="560" w:lineRule="exact"/>
        <w:ind w:firstLine="640" w:firstLineChars="200"/>
        <w:rPr>
          <w:rFonts w:eastAsia="仿宋_GB2312"/>
          <w:sz w:val="32"/>
          <w:szCs w:val="32"/>
        </w:rPr>
      </w:pPr>
      <w:r>
        <w:rPr>
          <w:rFonts w:eastAsia="仿宋_GB2312"/>
          <w:sz w:val="32"/>
          <w:szCs w:val="32"/>
        </w:rPr>
        <w:t>（一）本合同未列明的内容，在甲方招标（采购）文件中已有规定的，或者乙方在响应项目所提交的投标（报价）文件中有承诺的，甲方有权要求乙方履行，否则甲方有权追究乙方的违约责任。</w:t>
      </w:r>
    </w:p>
    <w:p>
      <w:pPr>
        <w:spacing w:line="560" w:lineRule="exact"/>
        <w:ind w:firstLine="640" w:firstLineChars="200"/>
        <w:rPr>
          <w:rFonts w:eastAsia="仿宋_GB2312"/>
          <w:sz w:val="32"/>
          <w:szCs w:val="32"/>
        </w:rPr>
      </w:pPr>
      <w:r>
        <w:rPr>
          <w:rFonts w:eastAsia="仿宋_GB2312"/>
          <w:sz w:val="32"/>
          <w:szCs w:val="32"/>
        </w:rPr>
        <w:t>（二）本合同未尽事宜，应由双方友好协商解决。如需对本合同及其附件做任何修改或补充，须由双方以书面作出方为有效。修改或补充文件与本合同有不一致的，以修改或补充文件为准。</w:t>
      </w:r>
    </w:p>
    <w:p>
      <w:pPr>
        <w:spacing w:line="560" w:lineRule="exact"/>
        <w:ind w:firstLine="640" w:firstLineChars="200"/>
        <w:rPr>
          <w:rFonts w:eastAsia="仿宋_GB2312"/>
          <w:sz w:val="32"/>
          <w:szCs w:val="32"/>
        </w:rPr>
      </w:pPr>
      <w:r>
        <w:rPr>
          <w:rFonts w:eastAsia="仿宋_GB2312"/>
          <w:sz w:val="32"/>
          <w:szCs w:val="32"/>
        </w:rPr>
        <w:t>（三）本合同如有任何变更、终止或解除需双方同意并签署书面文件方为有效。</w:t>
      </w:r>
    </w:p>
    <w:p>
      <w:pPr>
        <w:spacing w:line="560" w:lineRule="exact"/>
        <w:ind w:firstLine="640" w:firstLineChars="200"/>
        <w:rPr>
          <w:rFonts w:eastAsia="仿宋_GB2312"/>
          <w:sz w:val="32"/>
          <w:szCs w:val="32"/>
        </w:rPr>
      </w:pPr>
      <w:r>
        <w:rPr>
          <w:rFonts w:eastAsia="仿宋_GB2312"/>
          <w:sz w:val="32"/>
          <w:szCs w:val="32"/>
        </w:rPr>
        <w:t>（四）本合同签署前，双方应向对方提供其委托代理人有权签署本合同的合法授权文件。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4"/>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4564" w:type="dxa"/>
          </w:tcPr>
          <w:p>
            <w:pPr>
              <w:spacing w:line="460" w:lineRule="exact"/>
              <w:jc w:val="center"/>
              <w:rPr>
                <w:rFonts w:ascii="楷体_GB2312" w:eastAsia="楷体_GB2312"/>
                <w:sz w:val="24"/>
              </w:rPr>
            </w:pPr>
            <w:r>
              <w:rPr>
                <w:rFonts w:hint="eastAsia" w:ascii="楷体_GB2312" w:eastAsia="楷体_GB2312"/>
                <w:sz w:val="24"/>
              </w:rPr>
              <w:t>甲方</w:t>
            </w:r>
          </w:p>
          <w:p>
            <w:pPr>
              <w:spacing w:line="460" w:lineRule="exact"/>
              <w:rPr>
                <w:rFonts w:ascii="楷体_GB2312" w:eastAsia="楷体_GB2312"/>
                <w:sz w:val="24"/>
              </w:rPr>
            </w:pPr>
            <w:r>
              <w:rPr>
                <w:rFonts w:hint="eastAsia" w:ascii="楷体_GB2312" w:eastAsia="楷体_GB2312"/>
                <w:sz w:val="24"/>
              </w:rPr>
              <w:t>甲方（章）：</w:t>
            </w:r>
          </w:p>
          <w:p>
            <w:pPr>
              <w:spacing w:line="460" w:lineRule="exact"/>
              <w:rPr>
                <w:rFonts w:ascii="楷体_GB2312" w:eastAsia="楷体_GB2312"/>
                <w:sz w:val="24"/>
              </w:rPr>
            </w:pPr>
            <w:r>
              <w:rPr>
                <w:rFonts w:hint="eastAsia" w:ascii="楷体_GB2312" w:eastAsia="楷体_GB2312"/>
                <w:sz w:val="24"/>
              </w:rPr>
              <w:t xml:space="preserve">单位地址： </w:t>
            </w:r>
          </w:p>
          <w:p>
            <w:pPr>
              <w:spacing w:line="460" w:lineRule="exact"/>
              <w:rPr>
                <w:rFonts w:ascii="楷体_GB2312" w:eastAsia="楷体_GB2312"/>
                <w:sz w:val="24"/>
              </w:rPr>
            </w:pPr>
            <w:r>
              <w:rPr>
                <w:rFonts w:hint="eastAsia" w:ascii="楷体_GB2312" w:eastAsia="楷体_GB2312"/>
                <w:sz w:val="24"/>
              </w:rPr>
              <w:t>联系电话：</w:t>
            </w:r>
          </w:p>
          <w:p>
            <w:pPr>
              <w:spacing w:line="460" w:lineRule="exact"/>
              <w:rPr>
                <w:rFonts w:ascii="楷体_GB2312" w:eastAsia="楷体_GB2312"/>
                <w:sz w:val="24"/>
              </w:rPr>
            </w:pPr>
            <w:r>
              <w:rPr>
                <w:rFonts w:hint="eastAsia" w:ascii="楷体_GB2312" w:eastAsia="楷体_GB2312"/>
                <w:sz w:val="24"/>
              </w:rPr>
              <w:t>法定代表人或</w:t>
            </w:r>
          </w:p>
          <w:p>
            <w:pPr>
              <w:spacing w:line="460" w:lineRule="exact"/>
              <w:rPr>
                <w:rFonts w:ascii="楷体_GB2312" w:eastAsia="楷体_GB2312"/>
                <w:sz w:val="24"/>
              </w:rPr>
            </w:pPr>
            <w:r>
              <w:rPr>
                <w:rFonts w:hint="eastAsia" w:ascii="楷体_GB2312" w:eastAsia="楷体_GB2312"/>
                <w:sz w:val="24"/>
              </w:rPr>
              <w:t>委托代理人（签字）：</w:t>
            </w:r>
          </w:p>
          <w:p>
            <w:pPr>
              <w:spacing w:line="460" w:lineRule="exact"/>
              <w:rPr>
                <w:rFonts w:ascii="楷体_GB2312" w:eastAsia="楷体_GB2312"/>
                <w:sz w:val="24"/>
              </w:rPr>
            </w:pPr>
            <w:r>
              <w:rPr>
                <w:rFonts w:hint="eastAsia" w:ascii="楷体_GB2312" w:eastAsia="楷体_GB2312"/>
                <w:sz w:val="24"/>
              </w:rPr>
              <w:t>开户银行：</w:t>
            </w:r>
          </w:p>
          <w:p>
            <w:pPr>
              <w:spacing w:line="460" w:lineRule="exact"/>
              <w:rPr>
                <w:rFonts w:ascii="楷体_GB2312" w:eastAsia="楷体_GB2312"/>
                <w:sz w:val="24"/>
              </w:rPr>
            </w:pPr>
            <w:r>
              <w:rPr>
                <w:rFonts w:hint="eastAsia" w:ascii="楷体_GB2312" w:eastAsia="楷体_GB2312"/>
                <w:sz w:val="24"/>
              </w:rPr>
              <w:t>账户名称：</w:t>
            </w:r>
          </w:p>
          <w:p>
            <w:pPr>
              <w:spacing w:line="460" w:lineRule="exact"/>
              <w:rPr>
                <w:rFonts w:ascii="楷体_GB2312" w:eastAsia="楷体_GB2312"/>
                <w:sz w:val="24"/>
              </w:rPr>
            </w:pPr>
            <w:r>
              <w:rPr>
                <w:rFonts w:hint="eastAsia" w:ascii="楷体_GB2312" w:eastAsia="楷体_GB2312"/>
                <w:sz w:val="24"/>
              </w:rPr>
              <w:t>账号：</w:t>
            </w:r>
          </w:p>
        </w:tc>
        <w:tc>
          <w:tcPr>
            <w:tcW w:w="4648" w:type="dxa"/>
          </w:tcPr>
          <w:p>
            <w:pPr>
              <w:spacing w:line="460" w:lineRule="exact"/>
              <w:jc w:val="center"/>
              <w:rPr>
                <w:rFonts w:ascii="楷体_GB2312" w:eastAsia="楷体_GB2312"/>
                <w:sz w:val="24"/>
              </w:rPr>
            </w:pPr>
            <w:r>
              <w:rPr>
                <w:rFonts w:hint="eastAsia" w:ascii="楷体_GB2312" w:eastAsia="楷体_GB2312"/>
                <w:sz w:val="24"/>
              </w:rPr>
              <w:t>乙方</w:t>
            </w:r>
          </w:p>
          <w:p>
            <w:pPr>
              <w:spacing w:line="460" w:lineRule="exact"/>
              <w:rPr>
                <w:rFonts w:ascii="楷体_GB2312" w:eastAsia="楷体_GB2312"/>
                <w:sz w:val="24"/>
              </w:rPr>
            </w:pPr>
            <w:r>
              <w:rPr>
                <w:rFonts w:hint="eastAsia" w:ascii="楷体_GB2312" w:eastAsia="楷体_GB2312"/>
                <w:sz w:val="24"/>
              </w:rPr>
              <w:t xml:space="preserve">乙方（章）： </w:t>
            </w:r>
          </w:p>
          <w:p>
            <w:pPr>
              <w:spacing w:line="460" w:lineRule="exact"/>
              <w:rPr>
                <w:rFonts w:ascii="楷体_GB2312" w:eastAsia="楷体_GB2312"/>
                <w:sz w:val="24"/>
              </w:rPr>
            </w:pPr>
            <w:r>
              <w:rPr>
                <w:rFonts w:hint="eastAsia" w:ascii="楷体_GB2312" w:eastAsia="楷体_GB2312"/>
                <w:sz w:val="24"/>
              </w:rPr>
              <w:t>单位地址：</w:t>
            </w:r>
          </w:p>
          <w:p>
            <w:pPr>
              <w:spacing w:line="460" w:lineRule="exact"/>
              <w:rPr>
                <w:rFonts w:ascii="楷体_GB2312" w:eastAsia="楷体_GB2312"/>
                <w:sz w:val="24"/>
              </w:rPr>
            </w:pPr>
            <w:r>
              <w:rPr>
                <w:rFonts w:hint="eastAsia" w:ascii="楷体_GB2312" w:eastAsia="楷体_GB2312"/>
                <w:sz w:val="24"/>
              </w:rPr>
              <w:t>联系电话：</w:t>
            </w:r>
          </w:p>
          <w:p>
            <w:pPr>
              <w:spacing w:line="460" w:lineRule="exact"/>
              <w:rPr>
                <w:rFonts w:ascii="楷体_GB2312" w:eastAsia="楷体_GB2312"/>
                <w:sz w:val="24"/>
              </w:rPr>
            </w:pPr>
            <w:r>
              <w:rPr>
                <w:rFonts w:hint="eastAsia" w:ascii="楷体_GB2312" w:eastAsia="楷体_GB2312"/>
                <w:sz w:val="24"/>
              </w:rPr>
              <w:t>法定代表人或</w:t>
            </w:r>
          </w:p>
          <w:p>
            <w:pPr>
              <w:spacing w:line="460" w:lineRule="exact"/>
              <w:rPr>
                <w:rFonts w:ascii="楷体_GB2312" w:eastAsia="楷体_GB2312"/>
                <w:sz w:val="24"/>
              </w:rPr>
            </w:pPr>
            <w:r>
              <w:rPr>
                <w:rFonts w:hint="eastAsia" w:ascii="楷体_GB2312" w:eastAsia="楷体_GB2312"/>
                <w:sz w:val="24"/>
              </w:rPr>
              <w:t>委托代理人（签字）：</w:t>
            </w:r>
          </w:p>
          <w:p>
            <w:pPr>
              <w:spacing w:line="460" w:lineRule="exact"/>
              <w:rPr>
                <w:rFonts w:ascii="楷体_GB2312" w:eastAsia="楷体_GB2312"/>
                <w:sz w:val="24"/>
              </w:rPr>
            </w:pPr>
            <w:r>
              <w:rPr>
                <w:rFonts w:hint="eastAsia" w:ascii="楷体_GB2312" w:eastAsia="楷体_GB2312"/>
                <w:sz w:val="24"/>
              </w:rPr>
              <w:t xml:space="preserve">开户银行： </w:t>
            </w:r>
          </w:p>
          <w:p>
            <w:pPr>
              <w:spacing w:line="460" w:lineRule="exact"/>
              <w:rPr>
                <w:rFonts w:ascii="楷体_GB2312" w:eastAsia="楷体_GB2312"/>
                <w:sz w:val="24"/>
              </w:rPr>
            </w:pPr>
            <w:r>
              <w:rPr>
                <w:rFonts w:hint="eastAsia" w:ascii="楷体_GB2312" w:eastAsia="楷体_GB2312"/>
                <w:sz w:val="24"/>
              </w:rPr>
              <w:t>账户名称：</w:t>
            </w:r>
          </w:p>
          <w:p>
            <w:pPr>
              <w:spacing w:line="460" w:lineRule="exact"/>
              <w:rPr>
                <w:rFonts w:ascii="楷体_GB2312" w:eastAsia="楷体_GB2312"/>
                <w:sz w:val="24"/>
              </w:rPr>
            </w:pPr>
            <w:r>
              <w:rPr>
                <w:rFonts w:hint="eastAsia" w:ascii="楷体_GB2312" w:eastAsia="楷体_GB2312"/>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9212" w:type="dxa"/>
            <w:gridSpan w:val="2"/>
            <w:vAlign w:val="center"/>
          </w:tcPr>
          <w:p>
            <w:pPr>
              <w:spacing w:line="460" w:lineRule="exact"/>
              <w:ind w:firstLine="2280" w:firstLineChars="950"/>
              <w:rPr>
                <w:rFonts w:ascii="楷体_GB2312" w:eastAsia="楷体_GB2312"/>
                <w:sz w:val="24"/>
              </w:rPr>
            </w:pPr>
            <w:r>
              <w:rPr>
                <w:rFonts w:hint="eastAsia" w:ascii="楷体_GB2312" w:eastAsia="楷体_GB2312"/>
                <w:sz w:val="24"/>
              </w:rPr>
              <w:t>签订日期：       年    月    日</w:t>
            </w:r>
          </w:p>
        </w:tc>
      </w:tr>
    </w:tbl>
    <w:p>
      <w:pPr>
        <w:adjustRightInd/>
        <w:spacing w:line="288" w:lineRule="auto"/>
        <w:textAlignment w:val="auto"/>
        <w:rPr>
          <w:szCs w:val="21"/>
        </w:rPr>
      </w:pPr>
    </w:p>
    <w:p>
      <w:pPr>
        <w:adjustRightInd/>
        <w:spacing w:line="288" w:lineRule="auto"/>
        <w:textAlignment w:val="auto"/>
        <w:rPr>
          <w:rFonts w:hint="eastAsia" w:ascii="黑体" w:hAnsi="黑体" w:eastAsia="黑体"/>
          <w:sz w:val="32"/>
          <w:szCs w:val="32"/>
        </w:rPr>
      </w:pPr>
    </w:p>
    <w:p>
      <w:pPr>
        <w:adjustRightInd/>
        <w:spacing w:line="288" w:lineRule="auto"/>
        <w:textAlignment w:val="auto"/>
        <w:rPr>
          <w:rFonts w:hint="eastAsia" w:ascii="黑体" w:hAnsi="黑体" w:eastAsia="黑体"/>
          <w:sz w:val="32"/>
          <w:szCs w:val="32"/>
        </w:rPr>
      </w:pPr>
    </w:p>
    <w:p>
      <w:pPr>
        <w:adjustRightInd/>
        <w:spacing w:line="288" w:lineRule="auto"/>
        <w:textAlignment w:val="auto"/>
        <w:rPr>
          <w:rFonts w:hint="eastAsia" w:ascii="黑体" w:hAnsi="黑体" w:eastAsia="黑体"/>
          <w:sz w:val="32"/>
          <w:szCs w:val="32"/>
        </w:rPr>
      </w:pPr>
    </w:p>
    <w:p>
      <w:pPr>
        <w:adjustRightInd/>
        <w:spacing w:line="288" w:lineRule="auto"/>
        <w:textAlignment w:val="auto"/>
        <w:rPr>
          <w:rFonts w:hint="eastAsia"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小金碗高速灌封机采购（编号：SQ-202502）项目比选方案补充说明</w:t>
      </w:r>
    </w:p>
    <w:p>
      <w:pPr>
        <w:spacing w:line="560" w:lineRule="exact"/>
        <w:rPr>
          <w:rFonts w:eastAsia="仿宋_GB2312"/>
          <w:bCs/>
          <w:sz w:val="32"/>
          <w:szCs w:val="32"/>
        </w:rPr>
      </w:pPr>
    </w:p>
    <w:p>
      <w:pPr>
        <w:spacing w:line="560" w:lineRule="exact"/>
        <w:rPr>
          <w:rFonts w:eastAsia="仿宋_GB2312"/>
          <w:bCs/>
          <w:sz w:val="32"/>
          <w:szCs w:val="32"/>
        </w:rPr>
      </w:pPr>
      <w:r>
        <w:rPr>
          <w:rFonts w:eastAsia="仿宋_GB2312"/>
          <w:bCs/>
          <w:sz w:val="32"/>
          <w:szCs w:val="32"/>
        </w:rPr>
        <w:t>各报价单位：</w:t>
      </w:r>
    </w:p>
    <w:p>
      <w:pPr>
        <w:spacing w:line="560" w:lineRule="exact"/>
        <w:ind w:firstLine="640" w:firstLineChars="200"/>
        <w:rPr>
          <w:rFonts w:eastAsia="仿宋_GB2312"/>
          <w:bCs/>
          <w:sz w:val="32"/>
          <w:szCs w:val="32"/>
        </w:rPr>
      </w:pPr>
      <w:r>
        <w:rPr>
          <w:rFonts w:eastAsia="仿宋_GB2312"/>
          <w:bCs/>
          <w:sz w:val="32"/>
          <w:szCs w:val="32"/>
        </w:rPr>
        <w:t>现对《小金碗高速灌封机采购（编号：SQ-202502）项目比选方案》补充说明响应文件构成。</w:t>
      </w:r>
      <w:r>
        <w:rPr>
          <w:rFonts w:eastAsia="仿宋_GB2312"/>
          <w:sz w:val="32"/>
          <w:szCs w:val="32"/>
        </w:rPr>
        <w:t>报价人应仔细阅读《小金碗高速灌封机采购（编号：SQ-202502）项目比选方案》的所有内容，按要求编写响应文件，并保证所提供的全部资料的真实性、完整性及有效性，对《小金碗高速灌封机采购（编号：SQ-202502）项目比选方案》文件作出实质性响应。否则，其响应文件可能被拒绝</w:t>
      </w:r>
      <w:r>
        <w:rPr>
          <w:rFonts w:eastAsia="仿宋_GB2312"/>
          <w:bCs/>
          <w:sz w:val="32"/>
          <w:szCs w:val="32"/>
        </w:rPr>
        <w:t>。</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一、</w:t>
      </w:r>
      <w:r>
        <w:rPr>
          <w:rFonts w:ascii="黑体" w:hAnsi="黑体" w:eastAsia="黑体"/>
          <w:sz w:val="32"/>
          <w:szCs w:val="32"/>
        </w:rPr>
        <w:t>响应文件</w:t>
      </w:r>
      <w:r>
        <w:rPr>
          <w:rFonts w:ascii="黑体" w:hAnsi="黑体" w:eastAsia="黑体"/>
          <w:bCs/>
          <w:sz w:val="32"/>
          <w:szCs w:val="32"/>
        </w:rPr>
        <w:t>内容</w:t>
      </w:r>
    </w:p>
    <w:p>
      <w:pPr>
        <w:spacing w:line="560" w:lineRule="exact"/>
        <w:ind w:firstLine="640" w:firstLineChars="200"/>
        <w:rPr>
          <w:rFonts w:eastAsia="仿宋_GB2312"/>
          <w:sz w:val="32"/>
          <w:szCs w:val="32"/>
        </w:rPr>
      </w:pPr>
      <w:r>
        <w:rPr>
          <w:rFonts w:eastAsia="仿宋_GB2312"/>
          <w:sz w:val="32"/>
          <w:szCs w:val="32"/>
        </w:rPr>
        <w:t>注：以下文件均需投标人加盖公章确认。</w:t>
      </w:r>
    </w:p>
    <w:p>
      <w:pPr>
        <w:pStyle w:val="13"/>
        <w:spacing w:line="560" w:lineRule="exact"/>
        <w:ind w:left="64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报价函</w:t>
      </w:r>
      <w:r>
        <w:rPr>
          <w:rFonts w:hint="eastAsia" w:ascii="Times New Roman" w:hAnsi="Times New Roman" w:eastAsia="仿宋_GB2312"/>
          <w:sz w:val="32"/>
          <w:szCs w:val="32"/>
        </w:rPr>
        <w:t>。</w:t>
      </w:r>
    </w:p>
    <w:p>
      <w:pPr>
        <w:pStyle w:val="13"/>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报价表</w:t>
      </w:r>
      <w:r>
        <w:rPr>
          <w:rFonts w:hint="eastAsia" w:ascii="Times New Roman" w:hAnsi="Times New Roman" w:eastAsia="仿宋_GB2312"/>
          <w:sz w:val="32"/>
          <w:szCs w:val="32"/>
        </w:rPr>
        <w:t>。</w:t>
      </w:r>
    </w:p>
    <w:p>
      <w:pPr>
        <w:pStyle w:val="13"/>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服务承诺书</w:t>
      </w:r>
      <w:r>
        <w:rPr>
          <w:rFonts w:hint="eastAsia" w:ascii="Times New Roman" w:hAnsi="Times New Roman" w:eastAsia="仿宋_GB2312"/>
          <w:sz w:val="32"/>
          <w:szCs w:val="32"/>
        </w:rPr>
        <w:t>。</w:t>
      </w:r>
    </w:p>
    <w:p>
      <w:pPr>
        <w:pStyle w:val="13"/>
        <w:spacing w:line="560" w:lineRule="exact"/>
        <w:ind w:left="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声明书</w:t>
      </w:r>
      <w:r>
        <w:rPr>
          <w:rFonts w:hint="eastAsia" w:ascii="Times New Roman" w:hAnsi="Times New Roman" w:eastAsia="仿宋_GB2312"/>
          <w:sz w:val="32"/>
          <w:szCs w:val="32"/>
        </w:rPr>
        <w:t>。</w:t>
      </w:r>
    </w:p>
    <w:p>
      <w:pPr>
        <w:pStyle w:val="13"/>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资格证明文件</w:t>
      </w:r>
      <w:r>
        <w:rPr>
          <w:rFonts w:hint="eastAsia" w:ascii="Times New Roman" w:hAnsi="Times New Roman"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5.1营业执照副本复印件</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5.2税务登记证副本复印件（三证合一除外）</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5.3法定代表人身份证复印件（正反面）（如有必须提供）</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5.4法定代表人身份证明书</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5.5法定代表人授权委托书（如有必须提供）和委托代理人身份证复印件（正反面）</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报价人认为其他必须提供的文件资料。</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二、报价</w:t>
      </w:r>
    </w:p>
    <w:p>
      <w:pPr>
        <w:spacing w:line="560" w:lineRule="exact"/>
        <w:ind w:firstLine="640" w:firstLineChars="200"/>
        <w:rPr>
          <w:rFonts w:eastAsia="仿宋_GB2312"/>
          <w:sz w:val="32"/>
          <w:szCs w:val="32"/>
          <w:u w:val="single"/>
        </w:rPr>
      </w:pPr>
      <w:r>
        <w:rPr>
          <w:rFonts w:hint="eastAsia" w:eastAsia="仿宋_GB2312"/>
          <w:sz w:val="32"/>
          <w:szCs w:val="32"/>
        </w:rPr>
        <w:t>1.</w:t>
      </w:r>
      <w:r>
        <w:rPr>
          <w:rFonts w:eastAsia="仿宋_GB2312"/>
          <w:sz w:val="32"/>
          <w:szCs w:val="32"/>
        </w:rPr>
        <w:t>投标报价为含税价。</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投标报价按《小金碗高速灌封机采购（编号：SQ7HL-20250121）项目比选方案》第四章的格式要求。</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三、响应文件的书写及签署规定</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响应文件的正本和所有副本须用不褪色的墨水书写或打印，装订成册，修改处应加盖公章。</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响应文件应由法定代表人或授权代表在所有规定签章处逐一签署及加盖单位的公章。</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投标人必须在每份响应文件上注明“正本”“副本”字样，一旦正本和副本不符，以正本为准。</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kern w:val="0"/>
          <w:sz w:val="32"/>
          <w:szCs w:val="32"/>
        </w:rPr>
        <w:t>除投标人对错处做必要修改外，响应文件不得行间插字、涂改或增删，如有修改错漏处，必须由投标人法人代表或其授权代表签字和盖章。</w:t>
      </w:r>
    </w:p>
    <w:p>
      <w:pPr>
        <w:spacing w:line="560" w:lineRule="exact"/>
        <w:ind w:firstLine="640" w:firstLineChars="200"/>
        <w:outlineLvl w:val="1"/>
        <w:rPr>
          <w:rFonts w:hint="eastAsia" w:ascii="黑体" w:hAnsi="黑体" w:eastAsia="黑体"/>
          <w:bCs/>
          <w:sz w:val="32"/>
          <w:szCs w:val="32"/>
        </w:rPr>
      </w:pPr>
      <w:r>
        <w:rPr>
          <w:rFonts w:ascii="黑体" w:hAnsi="黑体" w:eastAsia="黑体"/>
          <w:bCs/>
          <w:sz w:val="32"/>
          <w:szCs w:val="32"/>
        </w:rPr>
        <w:t>四、响应文件的密封与标记</w:t>
      </w:r>
    </w:p>
    <w:p>
      <w:pPr>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w:t>
      </w:r>
      <w:r>
        <w:rPr>
          <w:rFonts w:eastAsia="仿宋_GB2312"/>
          <w:bCs/>
          <w:sz w:val="32"/>
          <w:szCs w:val="32"/>
        </w:rPr>
        <w:t>报价人将响应文件标明“正本”或“副本”后，将响应文件“正本”“副本”一并装入一个文件袋内加以密封并在每一封贴处加盖单位公章。</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响应文件袋上应写明：</w:t>
      </w:r>
    </w:p>
    <w:p>
      <w:pPr>
        <w:spacing w:line="560" w:lineRule="exact"/>
        <w:ind w:firstLine="640" w:firstLineChars="200"/>
        <w:rPr>
          <w:rFonts w:eastAsia="仿宋_GB2312"/>
          <w:sz w:val="32"/>
          <w:szCs w:val="32"/>
        </w:rPr>
      </w:pPr>
      <w:r>
        <w:rPr>
          <w:rFonts w:eastAsia="仿宋_GB2312"/>
          <w:sz w:val="32"/>
          <w:szCs w:val="32"/>
        </w:rPr>
        <w:t>2.1项目名称：广西双钱健康产业股份有限公司小金碗高速灌封机采购（编号：SQ-202502）项目</w:t>
      </w:r>
    </w:p>
    <w:p>
      <w:pPr>
        <w:pStyle w:val="13"/>
        <w:spacing w:line="600" w:lineRule="exact"/>
        <w:ind w:firstLine="640" w:firstLineChars="200"/>
        <w:outlineLvl w:val="0"/>
        <w:rPr>
          <w:sz w:val="28"/>
          <w:szCs w:val="28"/>
        </w:rPr>
      </w:pPr>
      <w:r>
        <w:rPr>
          <w:rFonts w:ascii="Times New Roman" w:hAnsi="Times New Roman" w:eastAsia="仿宋_GB2312"/>
          <w:sz w:val="32"/>
          <w:szCs w:val="32"/>
        </w:rPr>
        <w:t>2.2</w:t>
      </w:r>
      <w:r>
        <w:rPr>
          <w:rFonts w:eastAsia="仿宋_GB2312"/>
          <w:sz w:val="32"/>
          <w:szCs w:val="32"/>
        </w:rPr>
        <w:t>报价单位：</w:t>
      </w:r>
      <w:r>
        <w:rPr>
          <w:rFonts w:eastAsia="仿宋_GB2312"/>
          <w:sz w:val="32"/>
          <w:szCs w:val="32"/>
          <w:u w:val="single"/>
        </w:rPr>
        <w:t xml:space="preserve">                 </w:t>
      </w:r>
      <w:r>
        <w:rPr>
          <w:rFonts w:eastAsia="仿宋_GB2312"/>
          <w:sz w:val="32"/>
          <w:szCs w:val="32"/>
        </w:rPr>
        <w:t xml:space="preserve">    </w:t>
      </w:r>
    </w:p>
    <w:sectPr>
      <w:footerReference r:id="rId11" w:type="default"/>
      <w:pgSz w:w="11906" w:h="16838"/>
      <w:pgMar w:top="2098" w:right="1474" w:bottom="1985" w:left="1588" w:header="851" w:footer="1418" w:gutter="0"/>
      <w:pgNumType w:fmt="numberInDash" w:start="1"/>
      <w:cols w:space="720" w:num="1"/>
      <w:titlePg/>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704020202020204"/>
    <w:charset w:val="00"/>
    <w:family w:val="swiss"/>
    <w:pitch w:val="default"/>
    <w:sig w:usb0="E0002AFF" w:usb1="C0007843" w:usb2="00000009" w:usb3="00000000" w:csb0="400001FF" w:csb1="FFFF0000"/>
  </w:font>
  <w:font w:name="仿宋_GB2312">
    <w:altName w:val="方正仿宋_GBK"/>
    <w:panose1 w:val="02010609030101010101"/>
    <w:charset w:val="86"/>
    <w:family w:val="modern"/>
    <w:pitch w:val="default"/>
    <w:sig w:usb0="00000000" w:usb1="00000000" w:usb2="00000010" w:usb3="00000000" w:csb0="00040000" w:csb1="00000000"/>
  </w:font>
  <w:font w:name="金山简黑体">
    <w:altName w:val="汉仪中黑KW"/>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A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Dutch">
    <w:altName w:val="苹方-简"/>
    <w:panose1 w:val="00000000000000000000"/>
    <w:charset w:val="00"/>
    <w:family w:val="roman"/>
    <w:pitch w:val="default"/>
    <w:sig w:usb0="00000000" w:usb1="00000000" w:usb2="00000000" w:usb3="00000000" w:csb0="00000001" w:csb1="00000000"/>
  </w:font>
  <w:font w:name="华康简魏碑">
    <w:altName w:val="苹方-简"/>
    <w:panose1 w:val="00000000000000000000"/>
    <w:charset w:val="86"/>
    <w:family w:val="modern"/>
    <w:pitch w:val="default"/>
    <w:sig w:usb0="00000000" w:usb1="00000000" w:usb2="00000010" w:usb3="00000000" w:csb0="0004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Cambria Math">
    <w:altName w:val="Kingsoft Math"/>
    <w:panose1 w:val="02040503050406030204"/>
    <w:charset w:val="00"/>
    <w:family w:val="roman"/>
    <w:pitch w:val="default"/>
    <w:sig w:usb0="00000000" w:usb1="00000000" w:usb2="02000000"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Math">
    <w:panose1 w:val="02040503050406030204"/>
    <w:charset w:val="00"/>
    <w:family w:val="auto"/>
    <w:pitch w:val="default"/>
    <w:sig w:usb0="80000087" w:usb1="00002068" w:usb2="00000000" w:usb3="00000000" w:csb0="2000019F"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eastAsiaTheme="minorEastAsia"/>
        <w:sz w:val="28"/>
        <w:szCs w:val="28"/>
      </w:rPr>
    </w:sdtEndPr>
    <w:sdtContent>
      <w:p>
        <w:pPr>
          <w:pStyle w:val="17"/>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2</w:t>
        </w:r>
        <w:r>
          <w:rPr>
            <w:rFonts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eastAsiaTheme="minorEastAsia"/>
        <w:sz w:val="28"/>
        <w:szCs w:val="28"/>
      </w:rPr>
    </w:sdtEndPr>
    <w:sdtContent>
      <w:p>
        <w:pPr>
          <w:pStyle w:val="17"/>
          <w:jc w:val="right"/>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2</w:t>
        </w:r>
        <w:r>
          <w:rPr>
            <w:rFonts w:eastAsia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eastAsiaTheme="majorEastAsia"/>
        <w:sz w:val="28"/>
        <w:szCs w:val="28"/>
      </w:rPr>
    </w:sdtEndPr>
    <w:sdtContent>
      <w:p>
        <w:pPr>
          <w:pStyle w:val="17"/>
          <w:jc w:val="right"/>
          <w:rPr>
            <w:rFonts w:eastAsiaTheme="majorEastAsia"/>
            <w:sz w:val="28"/>
            <w:szCs w:val="28"/>
          </w:rPr>
        </w:pPr>
        <w:r>
          <w:rPr>
            <w:rFonts w:eastAsiaTheme="majorEastAsia"/>
            <w:sz w:val="28"/>
            <w:szCs w:val="28"/>
          </w:rPr>
          <w:fldChar w:fldCharType="begin"/>
        </w:r>
        <w:r>
          <w:rPr>
            <w:rFonts w:eastAsiaTheme="majorEastAsia"/>
            <w:sz w:val="28"/>
            <w:szCs w:val="28"/>
          </w:rPr>
          <w:instrText xml:space="preserve">PAGE   \* MERGEFORMAT</w:instrText>
        </w:r>
        <w:r>
          <w:rPr>
            <w:rFonts w:eastAsiaTheme="majorEastAsia"/>
            <w:sz w:val="28"/>
            <w:szCs w:val="28"/>
          </w:rPr>
          <w:fldChar w:fldCharType="separate"/>
        </w:r>
        <w:r>
          <w:rPr>
            <w:rFonts w:eastAsiaTheme="majorEastAsia"/>
            <w:sz w:val="28"/>
            <w:szCs w:val="28"/>
            <w:lang w:val="zh-CN"/>
          </w:rPr>
          <w:t>2</w:t>
        </w:r>
        <w:r>
          <w:rPr>
            <w:rFonts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8"/>
      <w:lvlText w:val=""/>
      <w:lvlJc w:val="left"/>
      <w:pPr>
        <w:tabs>
          <w:tab w:val="left" w:pos="360"/>
        </w:tabs>
        <w:ind w:left="360" w:hanging="360"/>
      </w:pPr>
      <w:rPr>
        <w:rFonts w:hint="default" w:ascii="Wingdings" w:hAnsi="Wingdings"/>
      </w:rPr>
    </w:lvl>
  </w:abstractNum>
  <w:abstractNum w:abstractNumId="1">
    <w:nsid w:val="109E3DAE"/>
    <w:multiLevelType w:val="multilevel"/>
    <w:tmpl w:val="109E3DAE"/>
    <w:lvl w:ilvl="0" w:tentative="0">
      <w:start w:val="3"/>
      <w:numFmt w:val="decimal"/>
      <w:lvlText w:val="%1."/>
      <w:lvlJc w:val="left"/>
      <w:pPr>
        <w:ind w:left="425" w:hanging="425"/>
      </w:pPr>
      <w:rPr>
        <w:rFonts w:hint="eastAsia"/>
      </w:rPr>
    </w:lvl>
    <w:lvl w:ilvl="1" w:tentative="0">
      <w:start w:val="1"/>
      <w:numFmt w:val="decimal"/>
      <w:suff w:val="nothing"/>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4A9480C"/>
    <w:multiLevelType w:val="multilevel"/>
    <w:tmpl w:val="14A9480C"/>
    <w:lvl w:ilvl="0" w:tentative="0">
      <w:start w:val="1"/>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31"/>
  <w:displayHorizont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OTVkZTBkN2RkMzQ3MzM2ZDE1OTVkMjRjYmJiODEifQ=="/>
  </w:docVars>
  <w:rsids>
    <w:rsidRoot w:val="00172A27"/>
    <w:rsid w:val="0000018D"/>
    <w:rsid w:val="000004C6"/>
    <w:rsid w:val="000024B3"/>
    <w:rsid w:val="00002DFE"/>
    <w:rsid w:val="000032A0"/>
    <w:rsid w:val="00005D03"/>
    <w:rsid w:val="000063CE"/>
    <w:rsid w:val="00007F46"/>
    <w:rsid w:val="000101DB"/>
    <w:rsid w:val="00010B94"/>
    <w:rsid w:val="00012A88"/>
    <w:rsid w:val="00012D92"/>
    <w:rsid w:val="0001587E"/>
    <w:rsid w:val="0001795A"/>
    <w:rsid w:val="00017E87"/>
    <w:rsid w:val="00020E98"/>
    <w:rsid w:val="00021AB6"/>
    <w:rsid w:val="000223D4"/>
    <w:rsid w:val="00022A8B"/>
    <w:rsid w:val="00022CEF"/>
    <w:rsid w:val="00023257"/>
    <w:rsid w:val="000233F1"/>
    <w:rsid w:val="00023890"/>
    <w:rsid w:val="00025312"/>
    <w:rsid w:val="0002584A"/>
    <w:rsid w:val="000262D5"/>
    <w:rsid w:val="00026A1C"/>
    <w:rsid w:val="00026D67"/>
    <w:rsid w:val="00027219"/>
    <w:rsid w:val="00027DB0"/>
    <w:rsid w:val="00027F18"/>
    <w:rsid w:val="00031CC2"/>
    <w:rsid w:val="0003289C"/>
    <w:rsid w:val="00032A9A"/>
    <w:rsid w:val="00032B3C"/>
    <w:rsid w:val="00033223"/>
    <w:rsid w:val="000351EA"/>
    <w:rsid w:val="00035299"/>
    <w:rsid w:val="00035429"/>
    <w:rsid w:val="00037635"/>
    <w:rsid w:val="00037BEA"/>
    <w:rsid w:val="0004011B"/>
    <w:rsid w:val="0004063A"/>
    <w:rsid w:val="0004103E"/>
    <w:rsid w:val="0004146C"/>
    <w:rsid w:val="00042879"/>
    <w:rsid w:val="00042D6C"/>
    <w:rsid w:val="0004319C"/>
    <w:rsid w:val="000437E9"/>
    <w:rsid w:val="00044B38"/>
    <w:rsid w:val="000450D9"/>
    <w:rsid w:val="000453BE"/>
    <w:rsid w:val="000460C3"/>
    <w:rsid w:val="00047469"/>
    <w:rsid w:val="00047702"/>
    <w:rsid w:val="0005172A"/>
    <w:rsid w:val="00051EEB"/>
    <w:rsid w:val="00052223"/>
    <w:rsid w:val="00053534"/>
    <w:rsid w:val="0005392D"/>
    <w:rsid w:val="000548CF"/>
    <w:rsid w:val="00055275"/>
    <w:rsid w:val="00055CC5"/>
    <w:rsid w:val="000565EA"/>
    <w:rsid w:val="0005723E"/>
    <w:rsid w:val="000576D6"/>
    <w:rsid w:val="00060C30"/>
    <w:rsid w:val="00060C6D"/>
    <w:rsid w:val="0006125A"/>
    <w:rsid w:val="00061670"/>
    <w:rsid w:val="00062015"/>
    <w:rsid w:val="0006224B"/>
    <w:rsid w:val="00062389"/>
    <w:rsid w:val="000624A6"/>
    <w:rsid w:val="00062FF3"/>
    <w:rsid w:val="00063A7F"/>
    <w:rsid w:val="000645A4"/>
    <w:rsid w:val="00064687"/>
    <w:rsid w:val="0006567D"/>
    <w:rsid w:val="00065E41"/>
    <w:rsid w:val="0006669F"/>
    <w:rsid w:val="000676ED"/>
    <w:rsid w:val="00067E52"/>
    <w:rsid w:val="000702E0"/>
    <w:rsid w:val="00070B43"/>
    <w:rsid w:val="00071167"/>
    <w:rsid w:val="000719F4"/>
    <w:rsid w:val="00072D02"/>
    <w:rsid w:val="00073B31"/>
    <w:rsid w:val="00073D3F"/>
    <w:rsid w:val="0007553D"/>
    <w:rsid w:val="0007579D"/>
    <w:rsid w:val="00075F6A"/>
    <w:rsid w:val="000775B7"/>
    <w:rsid w:val="00077CD1"/>
    <w:rsid w:val="00081390"/>
    <w:rsid w:val="000816EF"/>
    <w:rsid w:val="00082875"/>
    <w:rsid w:val="00083377"/>
    <w:rsid w:val="000874E4"/>
    <w:rsid w:val="0009032F"/>
    <w:rsid w:val="00090DB5"/>
    <w:rsid w:val="000911B5"/>
    <w:rsid w:val="00091ED5"/>
    <w:rsid w:val="000929E4"/>
    <w:rsid w:val="0009447D"/>
    <w:rsid w:val="000948FA"/>
    <w:rsid w:val="00094E6F"/>
    <w:rsid w:val="000954C3"/>
    <w:rsid w:val="000963D1"/>
    <w:rsid w:val="0009656D"/>
    <w:rsid w:val="00096DD9"/>
    <w:rsid w:val="00097415"/>
    <w:rsid w:val="000A232D"/>
    <w:rsid w:val="000A2DD7"/>
    <w:rsid w:val="000A33CA"/>
    <w:rsid w:val="000A41F6"/>
    <w:rsid w:val="000A46C1"/>
    <w:rsid w:val="000A4D10"/>
    <w:rsid w:val="000A5E58"/>
    <w:rsid w:val="000A698D"/>
    <w:rsid w:val="000A78B4"/>
    <w:rsid w:val="000A7FE5"/>
    <w:rsid w:val="000B020B"/>
    <w:rsid w:val="000B05B9"/>
    <w:rsid w:val="000B1C5D"/>
    <w:rsid w:val="000B2349"/>
    <w:rsid w:val="000B2D68"/>
    <w:rsid w:val="000B3535"/>
    <w:rsid w:val="000B3CA6"/>
    <w:rsid w:val="000B413E"/>
    <w:rsid w:val="000B4529"/>
    <w:rsid w:val="000B4F6D"/>
    <w:rsid w:val="000B5537"/>
    <w:rsid w:val="000B5F7A"/>
    <w:rsid w:val="000B696D"/>
    <w:rsid w:val="000B73A2"/>
    <w:rsid w:val="000C0CAC"/>
    <w:rsid w:val="000C13EC"/>
    <w:rsid w:val="000C141A"/>
    <w:rsid w:val="000C2C8A"/>
    <w:rsid w:val="000C2ECC"/>
    <w:rsid w:val="000C38D3"/>
    <w:rsid w:val="000C3D56"/>
    <w:rsid w:val="000C3EF8"/>
    <w:rsid w:val="000C420D"/>
    <w:rsid w:val="000C5337"/>
    <w:rsid w:val="000C57CA"/>
    <w:rsid w:val="000D26CE"/>
    <w:rsid w:val="000D2B40"/>
    <w:rsid w:val="000D2BFC"/>
    <w:rsid w:val="000D32B1"/>
    <w:rsid w:val="000D45A8"/>
    <w:rsid w:val="000D56CB"/>
    <w:rsid w:val="000D5F86"/>
    <w:rsid w:val="000E0B96"/>
    <w:rsid w:val="000E0D40"/>
    <w:rsid w:val="000E1D5E"/>
    <w:rsid w:val="000E2381"/>
    <w:rsid w:val="000E305D"/>
    <w:rsid w:val="000E3DD4"/>
    <w:rsid w:val="000E7FEB"/>
    <w:rsid w:val="000F04CA"/>
    <w:rsid w:val="000F072B"/>
    <w:rsid w:val="000F0F2F"/>
    <w:rsid w:val="000F1121"/>
    <w:rsid w:val="000F1B73"/>
    <w:rsid w:val="000F29C5"/>
    <w:rsid w:val="000F2E9B"/>
    <w:rsid w:val="000F2F07"/>
    <w:rsid w:val="000F4770"/>
    <w:rsid w:val="000F788E"/>
    <w:rsid w:val="001014B3"/>
    <w:rsid w:val="001038BF"/>
    <w:rsid w:val="001107F7"/>
    <w:rsid w:val="00110A48"/>
    <w:rsid w:val="00113B89"/>
    <w:rsid w:val="001141C2"/>
    <w:rsid w:val="001144B5"/>
    <w:rsid w:val="00114BFF"/>
    <w:rsid w:val="00115ACD"/>
    <w:rsid w:val="00115F3B"/>
    <w:rsid w:val="00116BAB"/>
    <w:rsid w:val="00116F77"/>
    <w:rsid w:val="0011762B"/>
    <w:rsid w:val="00117941"/>
    <w:rsid w:val="001201A2"/>
    <w:rsid w:val="00120585"/>
    <w:rsid w:val="001211BA"/>
    <w:rsid w:val="0012153E"/>
    <w:rsid w:val="00122B46"/>
    <w:rsid w:val="001235FB"/>
    <w:rsid w:val="00124C95"/>
    <w:rsid w:val="00124D58"/>
    <w:rsid w:val="00125368"/>
    <w:rsid w:val="001263BA"/>
    <w:rsid w:val="00126FE5"/>
    <w:rsid w:val="001307A8"/>
    <w:rsid w:val="001311B3"/>
    <w:rsid w:val="00132DB9"/>
    <w:rsid w:val="00133337"/>
    <w:rsid w:val="00134470"/>
    <w:rsid w:val="00135D45"/>
    <w:rsid w:val="00135EFE"/>
    <w:rsid w:val="00135F66"/>
    <w:rsid w:val="001362C4"/>
    <w:rsid w:val="00140143"/>
    <w:rsid w:val="00140763"/>
    <w:rsid w:val="00141335"/>
    <w:rsid w:val="001416E8"/>
    <w:rsid w:val="00141D65"/>
    <w:rsid w:val="00141E6D"/>
    <w:rsid w:val="0014245F"/>
    <w:rsid w:val="00142847"/>
    <w:rsid w:val="00144901"/>
    <w:rsid w:val="00144C57"/>
    <w:rsid w:val="00144E23"/>
    <w:rsid w:val="001469CA"/>
    <w:rsid w:val="00146B82"/>
    <w:rsid w:val="001471F2"/>
    <w:rsid w:val="00150DF7"/>
    <w:rsid w:val="001510D1"/>
    <w:rsid w:val="001516C3"/>
    <w:rsid w:val="00152C62"/>
    <w:rsid w:val="00152D96"/>
    <w:rsid w:val="0015313F"/>
    <w:rsid w:val="0015455A"/>
    <w:rsid w:val="00155066"/>
    <w:rsid w:val="00155376"/>
    <w:rsid w:val="00156396"/>
    <w:rsid w:val="00156595"/>
    <w:rsid w:val="001570D0"/>
    <w:rsid w:val="00157924"/>
    <w:rsid w:val="001602B0"/>
    <w:rsid w:val="00160A08"/>
    <w:rsid w:val="00161DFE"/>
    <w:rsid w:val="00162566"/>
    <w:rsid w:val="001629F9"/>
    <w:rsid w:val="0016306F"/>
    <w:rsid w:val="00163DC1"/>
    <w:rsid w:val="001645D1"/>
    <w:rsid w:val="00164F7E"/>
    <w:rsid w:val="00165530"/>
    <w:rsid w:val="00165878"/>
    <w:rsid w:val="00166373"/>
    <w:rsid w:val="001669A7"/>
    <w:rsid w:val="00167E54"/>
    <w:rsid w:val="001703AE"/>
    <w:rsid w:val="00170657"/>
    <w:rsid w:val="00171C74"/>
    <w:rsid w:val="00171D21"/>
    <w:rsid w:val="00171EC2"/>
    <w:rsid w:val="00172256"/>
    <w:rsid w:val="00172A27"/>
    <w:rsid w:val="00173201"/>
    <w:rsid w:val="0017413F"/>
    <w:rsid w:val="001754A7"/>
    <w:rsid w:val="00176453"/>
    <w:rsid w:val="00177662"/>
    <w:rsid w:val="0018009F"/>
    <w:rsid w:val="001804AD"/>
    <w:rsid w:val="001816E3"/>
    <w:rsid w:val="00181F0A"/>
    <w:rsid w:val="00182119"/>
    <w:rsid w:val="001831B4"/>
    <w:rsid w:val="001835A1"/>
    <w:rsid w:val="001838AF"/>
    <w:rsid w:val="00183AEB"/>
    <w:rsid w:val="00187C2D"/>
    <w:rsid w:val="00190456"/>
    <w:rsid w:val="00190852"/>
    <w:rsid w:val="00190F89"/>
    <w:rsid w:val="00192145"/>
    <w:rsid w:val="001936E9"/>
    <w:rsid w:val="00195525"/>
    <w:rsid w:val="0019580C"/>
    <w:rsid w:val="0019638D"/>
    <w:rsid w:val="00196405"/>
    <w:rsid w:val="00196440"/>
    <w:rsid w:val="00196CD3"/>
    <w:rsid w:val="001A0305"/>
    <w:rsid w:val="001A16E3"/>
    <w:rsid w:val="001A2AF4"/>
    <w:rsid w:val="001A2B0E"/>
    <w:rsid w:val="001A3809"/>
    <w:rsid w:val="001A4DFB"/>
    <w:rsid w:val="001A730C"/>
    <w:rsid w:val="001A7793"/>
    <w:rsid w:val="001A7DAC"/>
    <w:rsid w:val="001B05FD"/>
    <w:rsid w:val="001B0698"/>
    <w:rsid w:val="001B075E"/>
    <w:rsid w:val="001B0D86"/>
    <w:rsid w:val="001B2088"/>
    <w:rsid w:val="001B2486"/>
    <w:rsid w:val="001B27AA"/>
    <w:rsid w:val="001B2963"/>
    <w:rsid w:val="001B31A8"/>
    <w:rsid w:val="001B4240"/>
    <w:rsid w:val="001B491B"/>
    <w:rsid w:val="001C00E9"/>
    <w:rsid w:val="001C0C89"/>
    <w:rsid w:val="001C155B"/>
    <w:rsid w:val="001C15EA"/>
    <w:rsid w:val="001C1789"/>
    <w:rsid w:val="001C1DFF"/>
    <w:rsid w:val="001C2DE2"/>
    <w:rsid w:val="001C46CE"/>
    <w:rsid w:val="001C5864"/>
    <w:rsid w:val="001C5F42"/>
    <w:rsid w:val="001C60E8"/>
    <w:rsid w:val="001C7716"/>
    <w:rsid w:val="001D0633"/>
    <w:rsid w:val="001D34F8"/>
    <w:rsid w:val="001D4546"/>
    <w:rsid w:val="001D4CC4"/>
    <w:rsid w:val="001D4D59"/>
    <w:rsid w:val="001D5B5B"/>
    <w:rsid w:val="001E0AF7"/>
    <w:rsid w:val="001E0E8A"/>
    <w:rsid w:val="001E12DF"/>
    <w:rsid w:val="001E1667"/>
    <w:rsid w:val="001E17B0"/>
    <w:rsid w:val="001E1B3E"/>
    <w:rsid w:val="001E23C5"/>
    <w:rsid w:val="001E423D"/>
    <w:rsid w:val="001E4437"/>
    <w:rsid w:val="001E5AEF"/>
    <w:rsid w:val="001E68BD"/>
    <w:rsid w:val="001F0697"/>
    <w:rsid w:val="001F09C1"/>
    <w:rsid w:val="001F0D55"/>
    <w:rsid w:val="001F0ECA"/>
    <w:rsid w:val="001F1DE3"/>
    <w:rsid w:val="001F225A"/>
    <w:rsid w:val="001F227A"/>
    <w:rsid w:val="001F32B8"/>
    <w:rsid w:val="001F46E0"/>
    <w:rsid w:val="001F5579"/>
    <w:rsid w:val="001F79CF"/>
    <w:rsid w:val="00200261"/>
    <w:rsid w:val="002014C4"/>
    <w:rsid w:val="00201F42"/>
    <w:rsid w:val="0020220D"/>
    <w:rsid w:val="002033AC"/>
    <w:rsid w:val="0020378D"/>
    <w:rsid w:val="00206635"/>
    <w:rsid w:val="00206AC7"/>
    <w:rsid w:val="002123D9"/>
    <w:rsid w:val="00212B36"/>
    <w:rsid w:val="00213B34"/>
    <w:rsid w:val="00213C7F"/>
    <w:rsid w:val="00214F53"/>
    <w:rsid w:val="00220131"/>
    <w:rsid w:val="00222315"/>
    <w:rsid w:val="00222C10"/>
    <w:rsid w:val="00222D80"/>
    <w:rsid w:val="00223EFA"/>
    <w:rsid w:val="00223FD0"/>
    <w:rsid w:val="002241E2"/>
    <w:rsid w:val="002242D1"/>
    <w:rsid w:val="00225708"/>
    <w:rsid w:val="00225A75"/>
    <w:rsid w:val="002316B8"/>
    <w:rsid w:val="00232580"/>
    <w:rsid w:val="00233005"/>
    <w:rsid w:val="00234C84"/>
    <w:rsid w:val="00234EA1"/>
    <w:rsid w:val="002357CC"/>
    <w:rsid w:val="00235D04"/>
    <w:rsid w:val="00236046"/>
    <w:rsid w:val="002367BD"/>
    <w:rsid w:val="002375CA"/>
    <w:rsid w:val="00241081"/>
    <w:rsid w:val="00241351"/>
    <w:rsid w:val="00241F1B"/>
    <w:rsid w:val="00243FF3"/>
    <w:rsid w:val="00245966"/>
    <w:rsid w:val="00247462"/>
    <w:rsid w:val="00247BB2"/>
    <w:rsid w:val="002505BF"/>
    <w:rsid w:val="00251CEE"/>
    <w:rsid w:val="00252108"/>
    <w:rsid w:val="00252CDE"/>
    <w:rsid w:val="00252F54"/>
    <w:rsid w:val="00253F18"/>
    <w:rsid w:val="002541B3"/>
    <w:rsid w:val="00254A0B"/>
    <w:rsid w:val="00255A27"/>
    <w:rsid w:val="00256919"/>
    <w:rsid w:val="00256BC0"/>
    <w:rsid w:val="002575BF"/>
    <w:rsid w:val="00257D12"/>
    <w:rsid w:val="002600E9"/>
    <w:rsid w:val="00260714"/>
    <w:rsid w:val="00261273"/>
    <w:rsid w:val="0026204A"/>
    <w:rsid w:val="002620D5"/>
    <w:rsid w:val="00262192"/>
    <w:rsid w:val="002622B9"/>
    <w:rsid w:val="002622FF"/>
    <w:rsid w:val="0026235F"/>
    <w:rsid w:val="0026252E"/>
    <w:rsid w:val="00262D17"/>
    <w:rsid w:val="00263E95"/>
    <w:rsid w:val="00263EBA"/>
    <w:rsid w:val="00263F8A"/>
    <w:rsid w:val="002645C6"/>
    <w:rsid w:val="00265412"/>
    <w:rsid w:val="00265932"/>
    <w:rsid w:val="0026593A"/>
    <w:rsid w:val="00265E3D"/>
    <w:rsid w:val="002662F5"/>
    <w:rsid w:val="00266CB8"/>
    <w:rsid w:val="002670BA"/>
    <w:rsid w:val="00267A02"/>
    <w:rsid w:val="0027066B"/>
    <w:rsid w:val="002713DE"/>
    <w:rsid w:val="00271BE2"/>
    <w:rsid w:val="00271EEE"/>
    <w:rsid w:val="0027359A"/>
    <w:rsid w:val="00274264"/>
    <w:rsid w:val="00274915"/>
    <w:rsid w:val="00274931"/>
    <w:rsid w:val="002750E4"/>
    <w:rsid w:val="002752BF"/>
    <w:rsid w:val="00275C14"/>
    <w:rsid w:val="0027678A"/>
    <w:rsid w:val="002769EB"/>
    <w:rsid w:val="00276A19"/>
    <w:rsid w:val="00276D6C"/>
    <w:rsid w:val="00276E00"/>
    <w:rsid w:val="00277A10"/>
    <w:rsid w:val="00277C76"/>
    <w:rsid w:val="002804E0"/>
    <w:rsid w:val="002813A8"/>
    <w:rsid w:val="002820ED"/>
    <w:rsid w:val="00282E57"/>
    <w:rsid w:val="00283148"/>
    <w:rsid w:val="00283817"/>
    <w:rsid w:val="002838FC"/>
    <w:rsid w:val="0028572B"/>
    <w:rsid w:val="002867C3"/>
    <w:rsid w:val="002876C2"/>
    <w:rsid w:val="002877A9"/>
    <w:rsid w:val="0029107F"/>
    <w:rsid w:val="002925E9"/>
    <w:rsid w:val="00292BAE"/>
    <w:rsid w:val="002932BA"/>
    <w:rsid w:val="00293A32"/>
    <w:rsid w:val="00294E2B"/>
    <w:rsid w:val="00296D24"/>
    <w:rsid w:val="0029723E"/>
    <w:rsid w:val="002975D9"/>
    <w:rsid w:val="0029775F"/>
    <w:rsid w:val="00297C67"/>
    <w:rsid w:val="00297DD8"/>
    <w:rsid w:val="00297DFB"/>
    <w:rsid w:val="002A2818"/>
    <w:rsid w:val="002A4707"/>
    <w:rsid w:val="002A4ECE"/>
    <w:rsid w:val="002A53B6"/>
    <w:rsid w:val="002A63AF"/>
    <w:rsid w:val="002B1C01"/>
    <w:rsid w:val="002B1E0F"/>
    <w:rsid w:val="002B294B"/>
    <w:rsid w:val="002B37B2"/>
    <w:rsid w:val="002B384D"/>
    <w:rsid w:val="002B414D"/>
    <w:rsid w:val="002B6B8E"/>
    <w:rsid w:val="002B798F"/>
    <w:rsid w:val="002C0283"/>
    <w:rsid w:val="002C08B2"/>
    <w:rsid w:val="002C1F1A"/>
    <w:rsid w:val="002C2745"/>
    <w:rsid w:val="002C33CF"/>
    <w:rsid w:val="002C462A"/>
    <w:rsid w:val="002C6324"/>
    <w:rsid w:val="002C6385"/>
    <w:rsid w:val="002C6A07"/>
    <w:rsid w:val="002D0A1E"/>
    <w:rsid w:val="002D0BB7"/>
    <w:rsid w:val="002D13DD"/>
    <w:rsid w:val="002D1BAF"/>
    <w:rsid w:val="002D2775"/>
    <w:rsid w:val="002D2CB0"/>
    <w:rsid w:val="002D3364"/>
    <w:rsid w:val="002D3438"/>
    <w:rsid w:val="002D363F"/>
    <w:rsid w:val="002D3F4E"/>
    <w:rsid w:val="002D409E"/>
    <w:rsid w:val="002D4871"/>
    <w:rsid w:val="002D4A91"/>
    <w:rsid w:val="002D4B89"/>
    <w:rsid w:val="002D54AD"/>
    <w:rsid w:val="002D5A9A"/>
    <w:rsid w:val="002D6EA7"/>
    <w:rsid w:val="002E02CC"/>
    <w:rsid w:val="002E09CC"/>
    <w:rsid w:val="002E0F20"/>
    <w:rsid w:val="002E2BC7"/>
    <w:rsid w:val="002E30FC"/>
    <w:rsid w:val="002E37D8"/>
    <w:rsid w:val="002E5A6D"/>
    <w:rsid w:val="002E64C5"/>
    <w:rsid w:val="002E7160"/>
    <w:rsid w:val="002E7384"/>
    <w:rsid w:val="002E7900"/>
    <w:rsid w:val="002F0763"/>
    <w:rsid w:val="002F3F27"/>
    <w:rsid w:val="002F465D"/>
    <w:rsid w:val="002F4A2B"/>
    <w:rsid w:val="002F4B5F"/>
    <w:rsid w:val="002F6B58"/>
    <w:rsid w:val="002F6CFA"/>
    <w:rsid w:val="002F7811"/>
    <w:rsid w:val="003008A7"/>
    <w:rsid w:val="00301926"/>
    <w:rsid w:val="003025CE"/>
    <w:rsid w:val="0030351B"/>
    <w:rsid w:val="0030368F"/>
    <w:rsid w:val="00303D93"/>
    <w:rsid w:val="0030426C"/>
    <w:rsid w:val="00305D6F"/>
    <w:rsid w:val="00305E4F"/>
    <w:rsid w:val="0030677B"/>
    <w:rsid w:val="00306824"/>
    <w:rsid w:val="003069F3"/>
    <w:rsid w:val="003074B8"/>
    <w:rsid w:val="00307EC5"/>
    <w:rsid w:val="00310CBA"/>
    <w:rsid w:val="00311279"/>
    <w:rsid w:val="00311675"/>
    <w:rsid w:val="00312481"/>
    <w:rsid w:val="0031336E"/>
    <w:rsid w:val="003135E7"/>
    <w:rsid w:val="00315102"/>
    <w:rsid w:val="00315260"/>
    <w:rsid w:val="00316D17"/>
    <w:rsid w:val="00317284"/>
    <w:rsid w:val="0032172C"/>
    <w:rsid w:val="003224B8"/>
    <w:rsid w:val="00322973"/>
    <w:rsid w:val="00323BA6"/>
    <w:rsid w:val="003240FA"/>
    <w:rsid w:val="0032425B"/>
    <w:rsid w:val="003244D4"/>
    <w:rsid w:val="00324F48"/>
    <w:rsid w:val="00325A3E"/>
    <w:rsid w:val="00325AB3"/>
    <w:rsid w:val="00330B1C"/>
    <w:rsid w:val="00330C0C"/>
    <w:rsid w:val="003318B6"/>
    <w:rsid w:val="00331DC8"/>
    <w:rsid w:val="0033279C"/>
    <w:rsid w:val="00332EDD"/>
    <w:rsid w:val="00333912"/>
    <w:rsid w:val="0033500D"/>
    <w:rsid w:val="00335A8D"/>
    <w:rsid w:val="00336CCF"/>
    <w:rsid w:val="00337E8C"/>
    <w:rsid w:val="003415C5"/>
    <w:rsid w:val="00343125"/>
    <w:rsid w:val="00344471"/>
    <w:rsid w:val="00344592"/>
    <w:rsid w:val="00344B2A"/>
    <w:rsid w:val="003463F2"/>
    <w:rsid w:val="0034753D"/>
    <w:rsid w:val="00352F02"/>
    <w:rsid w:val="0035376B"/>
    <w:rsid w:val="003538F1"/>
    <w:rsid w:val="00355277"/>
    <w:rsid w:val="00355677"/>
    <w:rsid w:val="00355E1A"/>
    <w:rsid w:val="00357054"/>
    <w:rsid w:val="00357297"/>
    <w:rsid w:val="003609AF"/>
    <w:rsid w:val="003623AE"/>
    <w:rsid w:val="00363555"/>
    <w:rsid w:val="00363F35"/>
    <w:rsid w:val="00364943"/>
    <w:rsid w:val="00365E4E"/>
    <w:rsid w:val="00366486"/>
    <w:rsid w:val="003668D7"/>
    <w:rsid w:val="00366B47"/>
    <w:rsid w:val="00366EB7"/>
    <w:rsid w:val="003670F7"/>
    <w:rsid w:val="00367890"/>
    <w:rsid w:val="0037000D"/>
    <w:rsid w:val="00370D7D"/>
    <w:rsid w:val="003714FE"/>
    <w:rsid w:val="003718AF"/>
    <w:rsid w:val="00371A3B"/>
    <w:rsid w:val="00371BDA"/>
    <w:rsid w:val="00373950"/>
    <w:rsid w:val="00374B40"/>
    <w:rsid w:val="00376903"/>
    <w:rsid w:val="00380B85"/>
    <w:rsid w:val="00381D31"/>
    <w:rsid w:val="00382A8A"/>
    <w:rsid w:val="00382E8C"/>
    <w:rsid w:val="003830DA"/>
    <w:rsid w:val="00383343"/>
    <w:rsid w:val="003840BE"/>
    <w:rsid w:val="0038594D"/>
    <w:rsid w:val="00385DBE"/>
    <w:rsid w:val="0038603B"/>
    <w:rsid w:val="00386912"/>
    <w:rsid w:val="003875CA"/>
    <w:rsid w:val="00387761"/>
    <w:rsid w:val="00387F5A"/>
    <w:rsid w:val="00390130"/>
    <w:rsid w:val="0039022D"/>
    <w:rsid w:val="00391932"/>
    <w:rsid w:val="00391BBF"/>
    <w:rsid w:val="003921C5"/>
    <w:rsid w:val="00392BB6"/>
    <w:rsid w:val="003943E0"/>
    <w:rsid w:val="00396AA8"/>
    <w:rsid w:val="003978A4"/>
    <w:rsid w:val="00397FB5"/>
    <w:rsid w:val="003A10A8"/>
    <w:rsid w:val="003A2027"/>
    <w:rsid w:val="003A385A"/>
    <w:rsid w:val="003A46F7"/>
    <w:rsid w:val="003A5649"/>
    <w:rsid w:val="003A57B4"/>
    <w:rsid w:val="003A5874"/>
    <w:rsid w:val="003A641E"/>
    <w:rsid w:val="003A682A"/>
    <w:rsid w:val="003A6BDD"/>
    <w:rsid w:val="003A727A"/>
    <w:rsid w:val="003B0372"/>
    <w:rsid w:val="003B0E73"/>
    <w:rsid w:val="003B0FAB"/>
    <w:rsid w:val="003B2A22"/>
    <w:rsid w:val="003B421B"/>
    <w:rsid w:val="003B46D9"/>
    <w:rsid w:val="003B7675"/>
    <w:rsid w:val="003C0F17"/>
    <w:rsid w:val="003C13E1"/>
    <w:rsid w:val="003C2FB0"/>
    <w:rsid w:val="003C48AB"/>
    <w:rsid w:val="003D009C"/>
    <w:rsid w:val="003D2DEA"/>
    <w:rsid w:val="003D31BA"/>
    <w:rsid w:val="003D52BF"/>
    <w:rsid w:val="003E02E8"/>
    <w:rsid w:val="003E1568"/>
    <w:rsid w:val="003E1A2F"/>
    <w:rsid w:val="003E21D9"/>
    <w:rsid w:val="003E2BA4"/>
    <w:rsid w:val="003E3314"/>
    <w:rsid w:val="003E3C54"/>
    <w:rsid w:val="003E46E0"/>
    <w:rsid w:val="003E4DAC"/>
    <w:rsid w:val="003E69C9"/>
    <w:rsid w:val="003E7883"/>
    <w:rsid w:val="003E7F8D"/>
    <w:rsid w:val="003F017D"/>
    <w:rsid w:val="003F01FA"/>
    <w:rsid w:val="003F0656"/>
    <w:rsid w:val="003F0695"/>
    <w:rsid w:val="003F0D0C"/>
    <w:rsid w:val="003F305A"/>
    <w:rsid w:val="003F46E1"/>
    <w:rsid w:val="003F51CC"/>
    <w:rsid w:val="003F5B65"/>
    <w:rsid w:val="003F683C"/>
    <w:rsid w:val="003F7927"/>
    <w:rsid w:val="003F7F9D"/>
    <w:rsid w:val="004001A1"/>
    <w:rsid w:val="004003F7"/>
    <w:rsid w:val="00400F40"/>
    <w:rsid w:val="00403B4A"/>
    <w:rsid w:val="00404F1A"/>
    <w:rsid w:val="004051AE"/>
    <w:rsid w:val="00405807"/>
    <w:rsid w:val="00406728"/>
    <w:rsid w:val="00406DDE"/>
    <w:rsid w:val="004078D3"/>
    <w:rsid w:val="00411DCE"/>
    <w:rsid w:val="00411F2D"/>
    <w:rsid w:val="00412593"/>
    <w:rsid w:val="004125C6"/>
    <w:rsid w:val="00412FAC"/>
    <w:rsid w:val="00413600"/>
    <w:rsid w:val="0041438F"/>
    <w:rsid w:val="0041577C"/>
    <w:rsid w:val="00416262"/>
    <w:rsid w:val="00417726"/>
    <w:rsid w:val="004200A1"/>
    <w:rsid w:val="00420846"/>
    <w:rsid w:val="00420B16"/>
    <w:rsid w:val="004214E1"/>
    <w:rsid w:val="004215A5"/>
    <w:rsid w:val="00421BC0"/>
    <w:rsid w:val="00422126"/>
    <w:rsid w:val="00425319"/>
    <w:rsid w:val="0042539B"/>
    <w:rsid w:val="00425BF2"/>
    <w:rsid w:val="00430916"/>
    <w:rsid w:val="0043154F"/>
    <w:rsid w:val="00431708"/>
    <w:rsid w:val="00431B22"/>
    <w:rsid w:val="004344B8"/>
    <w:rsid w:val="00434628"/>
    <w:rsid w:val="004356C0"/>
    <w:rsid w:val="00436516"/>
    <w:rsid w:val="0043753A"/>
    <w:rsid w:val="00437B0D"/>
    <w:rsid w:val="0044050E"/>
    <w:rsid w:val="004411EF"/>
    <w:rsid w:val="004413FC"/>
    <w:rsid w:val="0044152B"/>
    <w:rsid w:val="00442201"/>
    <w:rsid w:val="00442AFB"/>
    <w:rsid w:val="00442EE8"/>
    <w:rsid w:val="004433A0"/>
    <w:rsid w:val="00444B97"/>
    <w:rsid w:val="00444D04"/>
    <w:rsid w:val="004459DE"/>
    <w:rsid w:val="00445C11"/>
    <w:rsid w:val="00445FE3"/>
    <w:rsid w:val="00450202"/>
    <w:rsid w:val="004502B7"/>
    <w:rsid w:val="0045112B"/>
    <w:rsid w:val="00451BAE"/>
    <w:rsid w:val="0045202C"/>
    <w:rsid w:val="004521C7"/>
    <w:rsid w:val="0045236B"/>
    <w:rsid w:val="0045592F"/>
    <w:rsid w:val="004565F2"/>
    <w:rsid w:val="00457265"/>
    <w:rsid w:val="0045759B"/>
    <w:rsid w:val="00457EFF"/>
    <w:rsid w:val="004606CA"/>
    <w:rsid w:val="00461330"/>
    <w:rsid w:val="004619F8"/>
    <w:rsid w:val="00462822"/>
    <w:rsid w:val="00464087"/>
    <w:rsid w:val="004662B5"/>
    <w:rsid w:val="004667F4"/>
    <w:rsid w:val="00467223"/>
    <w:rsid w:val="00467B00"/>
    <w:rsid w:val="00467DB1"/>
    <w:rsid w:val="00470FD6"/>
    <w:rsid w:val="00471B20"/>
    <w:rsid w:val="00472867"/>
    <w:rsid w:val="00472D11"/>
    <w:rsid w:val="004731F1"/>
    <w:rsid w:val="004744D5"/>
    <w:rsid w:val="00474703"/>
    <w:rsid w:val="00475C03"/>
    <w:rsid w:val="00475D2A"/>
    <w:rsid w:val="00476547"/>
    <w:rsid w:val="00480907"/>
    <w:rsid w:val="00480ABC"/>
    <w:rsid w:val="00480EEA"/>
    <w:rsid w:val="00481AC9"/>
    <w:rsid w:val="00481DFC"/>
    <w:rsid w:val="00481EF4"/>
    <w:rsid w:val="00484CB5"/>
    <w:rsid w:val="00484FA1"/>
    <w:rsid w:val="00486579"/>
    <w:rsid w:val="00486EA0"/>
    <w:rsid w:val="004903EB"/>
    <w:rsid w:val="0049123C"/>
    <w:rsid w:val="00491240"/>
    <w:rsid w:val="00492E60"/>
    <w:rsid w:val="00493224"/>
    <w:rsid w:val="004932A7"/>
    <w:rsid w:val="0049384A"/>
    <w:rsid w:val="00493948"/>
    <w:rsid w:val="004946B6"/>
    <w:rsid w:val="00494990"/>
    <w:rsid w:val="0049506C"/>
    <w:rsid w:val="0049625F"/>
    <w:rsid w:val="00497302"/>
    <w:rsid w:val="004A0B1D"/>
    <w:rsid w:val="004A2BC1"/>
    <w:rsid w:val="004A3B86"/>
    <w:rsid w:val="004A4208"/>
    <w:rsid w:val="004A57CD"/>
    <w:rsid w:val="004A5911"/>
    <w:rsid w:val="004A671F"/>
    <w:rsid w:val="004A7012"/>
    <w:rsid w:val="004B1061"/>
    <w:rsid w:val="004B22D7"/>
    <w:rsid w:val="004B3B0C"/>
    <w:rsid w:val="004B46E3"/>
    <w:rsid w:val="004B4886"/>
    <w:rsid w:val="004B4FAD"/>
    <w:rsid w:val="004B5047"/>
    <w:rsid w:val="004B55C8"/>
    <w:rsid w:val="004B62AA"/>
    <w:rsid w:val="004B6383"/>
    <w:rsid w:val="004B727A"/>
    <w:rsid w:val="004B76B1"/>
    <w:rsid w:val="004B7C65"/>
    <w:rsid w:val="004B7D98"/>
    <w:rsid w:val="004B7F71"/>
    <w:rsid w:val="004C0045"/>
    <w:rsid w:val="004C064A"/>
    <w:rsid w:val="004C11EB"/>
    <w:rsid w:val="004C1B0B"/>
    <w:rsid w:val="004C31AA"/>
    <w:rsid w:val="004C56BC"/>
    <w:rsid w:val="004C592B"/>
    <w:rsid w:val="004C60F1"/>
    <w:rsid w:val="004C7C3F"/>
    <w:rsid w:val="004D0501"/>
    <w:rsid w:val="004D09F0"/>
    <w:rsid w:val="004D0AA6"/>
    <w:rsid w:val="004D1B10"/>
    <w:rsid w:val="004D1E85"/>
    <w:rsid w:val="004D2C99"/>
    <w:rsid w:val="004D2F43"/>
    <w:rsid w:val="004D3FC3"/>
    <w:rsid w:val="004D5682"/>
    <w:rsid w:val="004D700D"/>
    <w:rsid w:val="004D74AF"/>
    <w:rsid w:val="004E1207"/>
    <w:rsid w:val="004E180D"/>
    <w:rsid w:val="004E3403"/>
    <w:rsid w:val="004E397D"/>
    <w:rsid w:val="004E3A51"/>
    <w:rsid w:val="004E48B1"/>
    <w:rsid w:val="004E5334"/>
    <w:rsid w:val="004E58D1"/>
    <w:rsid w:val="004E5BB3"/>
    <w:rsid w:val="004E65BF"/>
    <w:rsid w:val="004E674F"/>
    <w:rsid w:val="004E6D1F"/>
    <w:rsid w:val="004E7559"/>
    <w:rsid w:val="004F138C"/>
    <w:rsid w:val="004F50C1"/>
    <w:rsid w:val="004F743C"/>
    <w:rsid w:val="004F7924"/>
    <w:rsid w:val="004F7D9C"/>
    <w:rsid w:val="00500030"/>
    <w:rsid w:val="005009B3"/>
    <w:rsid w:val="00500CB2"/>
    <w:rsid w:val="00501553"/>
    <w:rsid w:val="005016D8"/>
    <w:rsid w:val="00502138"/>
    <w:rsid w:val="00502B4B"/>
    <w:rsid w:val="00502CCE"/>
    <w:rsid w:val="00504673"/>
    <w:rsid w:val="00504975"/>
    <w:rsid w:val="00505985"/>
    <w:rsid w:val="00506402"/>
    <w:rsid w:val="00506721"/>
    <w:rsid w:val="005072C2"/>
    <w:rsid w:val="005102DE"/>
    <w:rsid w:val="00510DEF"/>
    <w:rsid w:val="00511529"/>
    <w:rsid w:val="00511C27"/>
    <w:rsid w:val="00512A15"/>
    <w:rsid w:val="00512ABC"/>
    <w:rsid w:val="00514759"/>
    <w:rsid w:val="005147B4"/>
    <w:rsid w:val="00515071"/>
    <w:rsid w:val="0051611D"/>
    <w:rsid w:val="00516517"/>
    <w:rsid w:val="00516CE4"/>
    <w:rsid w:val="005172CB"/>
    <w:rsid w:val="005173A1"/>
    <w:rsid w:val="00517F73"/>
    <w:rsid w:val="00520AE2"/>
    <w:rsid w:val="00521458"/>
    <w:rsid w:val="005228E1"/>
    <w:rsid w:val="0052296C"/>
    <w:rsid w:val="00523EE4"/>
    <w:rsid w:val="00524332"/>
    <w:rsid w:val="00524615"/>
    <w:rsid w:val="00525560"/>
    <w:rsid w:val="00525852"/>
    <w:rsid w:val="0052717B"/>
    <w:rsid w:val="00531B68"/>
    <w:rsid w:val="00532E08"/>
    <w:rsid w:val="0053300A"/>
    <w:rsid w:val="005355B2"/>
    <w:rsid w:val="00537686"/>
    <w:rsid w:val="005416CE"/>
    <w:rsid w:val="00541703"/>
    <w:rsid w:val="00541726"/>
    <w:rsid w:val="00542130"/>
    <w:rsid w:val="00543506"/>
    <w:rsid w:val="00543A94"/>
    <w:rsid w:val="00544B47"/>
    <w:rsid w:val="0054595E"/>
    <w:rsid w:val="00546D05"/>
    <w:rsid w:val="0054728B"/>
    <w:rsid w:val="0054785F"/>
    <w:rsid w:val="0055025E"/>
    <w:rsid w:val="00551EAD"/>
    <w:rsid w:val="00552ABF"/>
    <w:rsid w:val="005548EE"/>
    <w:rsid w:val="00554B0D"/>
    <w:rsid w:val="00555BF0"/>
    <w:rsid w:val="00557468"/>
    <w:rsid w:val="00557A5E"/>
    <w:rsid w:val="00560FE9"/>
    <w:rsid w:val="00561589"/>
    <w:rsid w:val="00561DCF"/>
    <w:rsid w:val="00562194"/>
    <w:rsid w:val="00562B22"/>
    <w:rsid w:val="00562ED8"/>
    <w:rsid w:val="005635DA"/>
    <w:rsid w:val="00563783"/>
    <w:rsid w:val="00565017"/>
    <w:rsid w:val="00565BAD"/>
    <w:rsid w:val="00566828"/>
    <w:rsid w:val="00567584"/>
    <w:rsid w:val="00567639"/>
    <w:rsid w:val="00571BEE"/>
    <w:rsid w:val="005730B4"/>
    <w:rsid w:val="00573248"/>
    <w:rsid w:val="00573F60"/>
    <w:rsid w:val="00574806"/>
    <w:rsid w:val="00575FD6"/>
    <w:rsid w:val="0057789E"/>
    <w:rsid w:val="00577D31"/>
    <w:rsid w:val="0058135D"/>
    <w:rsid w:val="00581A78"/>
    <w:rsid w:val="00581B76"/>
    <w:rsid w:val="0058276F"/>
    <w:rsid w:val="005846E4"/>
    <w:rsid w:val="005846E9"/>
    <w:rsid w:val="005855F5"/>
    <w:rsid w:val="00586095"/>
    <w:rsid w:val="005875D4"/>
    <w:rsid w:val="0059082D"/>
    <w:rsid w:val="00590AEB"/>
    <w:rsid w:val="00591238"/>
    <w:rsid w:val="00592935"/>
    <w:rsid w:val="005933AA"/>
    <w:rsid w:val="005945E5"/>
    <w:rsid w:val="00594A90"/>
    <w:rsid w:val="00595B74"/>
    <w:rsid w:val="00597198"/>
    <w:rsid w:val="0059730A"/>
    <w:rsid w:val="005A0290"/>
    <w:rsid w:val="005A0AFB"/>
    <w:rsid w:val="005A158F"/>
    <w:rsid w:val="005A1E1E"/>
    <w:rsid w:val="005A26B4"/>
    <w:rsid w:val="005A329B"/>
    <w:rsid w:val="005A3FA3"/>
    <w:rsid w:val="005A40D2"/>
    <w:rsid w:val="005A4EEF"/>
    <w:rsid w:val="005A6753"/>
    <w:rsid w:val="005A6D16"/>
    <w:rsid w:val="005A731B"/>
    <w:rsid w:val="005B0217"/>
    <w:rsid w:val="005B04D7"/>
    <w:rsid w:val="005B0619"/>
    <w:rsid w:val="005B1B6C"/>
    <w:rsid w:val="005B1CE4"/>
    <w:rsid w:val="005B73D6"/>
    <w:rsid w:val="005B797E"/>
    <w:rsid w:val="005C044D"/>
    <w:rsid w:val="005C2117"/>
    <w:rsid w:val="005C24B5"/>
    <w:rsid w:val="005C27CC"/>
    <w:rsid w:val="005C280A"/>
    <w:rsid w:val="005C32D7"/>
    <w:rsid w:val="005C4F5C"/>
    <w:rsid w:val="005C635C"/>
    <w:rsid w:val="005C688E"/>
    <w:rsid w:val="005C6991"/>
    <w:rsid w:val="005C72BA"/>
    <w:rsid w:val="005C7496"/>
    <w:rsid w:val="005C7641"/>
    <w:rsid w:val="005C7B74"/>
    <w:rsid w:val="005D01C8"/>
    <w:rsid w:val="005D0A37"/>
    <w:rsid w:val="005D1ED7"/>
    <w:rsid w:val="005D3010"/>
    <w:rsid w:val="005D438D"/>
    <w:rsid w:val="005D52A0"/>
    <w:rsid w:val="005D5358"/>
    <w:rsid w:val="005D7558"/>
    <w:rsid w:val="005E0774"/>
    <w:rsid w:val="005E1482"/>
    <w:rsid w:val="005E1931"/>
    <w:rsid w:val="005E1E9C"/>
    <w:rsid w:val="005E237E"/>
    <w:rsid w:val="005E3CC2"/>
    <w:rsid w:val="005E400A"/>
    <w:rsid w:val="005F189A"/>
    <w:rsid w:val="005F367E"/>
    <w:rsid w:val="005F38EF"/>
    <w:rsid w:val="005F3F18"/>
    <w:rsid w:val="005F40D7"/>
    <w:rsid w:val="005F6423"/>
    <w:rsid w:val="005F6ACC"/>
    <w:rsid w:val="006009D0"/>
    <w:rsid w:val="00602976"/>
    <w:rsid w:val="006039AF"/>
    <w:rsid w:val="0060440C"/>
    <w:rsid w:val="00605484"/>
    <w:rsid w:val="00605636"/>
    <w:rsid w:val="00606867"/>
    <w:rsid w:val="006077B7"/>
    <w:rsid w:val="00607B89"/>
    <w:rsid w:val="00612872"/>
    <w:rsid w:val="006129D3"/>
    <w:rsid w:val="00612A9B"/>
    <w:rsid w:val="006132BA"/>
    <w:rsid w:val="00613377"/>
    <w:rsid w:val="006146E5"/>
    <w:rsid w:val="00614BCE"/>
    <w:rsid w:val="0061594B"/>
    <w:rsid w:val="00616400"/>
    <w:rsid w:val="00616B27"/>
    <w:rsid w:val="00617BDF"/>
    <w:rsid w:val="00620404"/>
    <w:rsid w:val="006208F3"/>
    <w:rsid w:val="0062178D"/>
    <w:rsid w:val="00621D4F"/>
    <w:rsid w:val="00622504"/>
    <w:rsid w:val="006226BD"/>
    <w:rsid w:val="006227DA"/>
    <w:rsid w:val="00622C1F"/>
    <w:rsid w:val="0062305E"/>
    <w:rsid w:val="0062374C"/>
    <w:rsid w:val="00623E2A"/>
    <w:rsid w:val="006242F5"/>
    <w:rsid w:val="006244AC"/>
    <w:rsid w:val="006245AF"/>
    <w:rsid w:val="00627072"/>
    <w:rsid w:val="006302D2"/>
    <w:rsid w:val="00630B5F"/>
    <w:rsid w:val="00630E4A"/>
    <w:rsid w:val="00631469"/>
    <w:rsid w:val="006319FB"/>
    <w:rsid w:val="006322C3"/>
    <w:rsid w:val="0063333A"/>
    <w:rsid w:val="006333D4"/>
    <w:rsid w:val="00634B73"/>
    <w:rsid w:val="00634EC5"/>
    <w:rsid w:val="006350EA"/>
    <w:rsid w:val="006369E5"/>
    <w:rsid w:val="00636BA1"/>
    <w:rsid w:val="00636FE9"/>
    <w:rsid w:val="0063745B"/>
    <w:rsid w:val="0064185F"/>
    <w:rsid w:val="006439A6"/>
    <w:rsid w:val="006448C2"/>
    <w:rsid w:val="00644BBE"/>
    <w:rsid w:val="00645D82"/>
    <w:rsid w:val="00646984"/>
    <w:rsid w:val="006476F8"/>
    <w:rsid w:val="00650380"/>
    <w:rsid w:val="0065157D"/>
    <w:rsid w:val="00651645"/>
    <w:rsid w:val="00651C0C"/>
    <w:rsid w:val="0065215A"/>
    <w:rsid w:val="0065242F"/>
    <w:rsid w:val="0065275C"/>
    <w:rsid w:val="00652CB9"/>
    <w:rsid w:val="00655F9C"/>
    <w:rsid w:val="00656126"/>
    <w:rsid w:val="00656198"/>
    <w:rsid w:val="00656E65"/>
    <w:rsid w:val="006579A1"/>
    <w:rsid w:val="0066006D"/>
    <w:rsid w:val="00660FF8"/>
    <w:rsid w:val="006611EE"/>
    <w:rsid w:val="00661FC7"/>
    <w:rsid w:val="0066218A"/>
    <w:rsid w:val="00662F56"/>
    <w:rsid w:val="0066349C"/>
    <w:rsid w:val="00663B29"/>
    <w:rsid w:val="0066450E"/>
    <w:rsid w:val="00664AE8"/>
    <w:rsid w:val="00665A56"/>
    <w:rsid w:val="00665A7E"/>
    <w:rsid w:val="00665D81"/>
    <w:rsid w:val="006701EA"/>
    <w:rsid w:val="00670D22"/>
    <w:rsid w:val="00670FA0"/>
    <w:rsid w:val="0067163F"/>
    <w:rsid w:val="00671F33"/>
    <w:rsid w:val="00673545"/>
    <w:rsid w:val="006754D8"/>
    <w:rsid w:val="006758E0"/>
    <w:rsid w:val="0067592D"/>
    <w:rsid w:val="006769B3"/>
    <w:rsid w:val="00677D65"/>
    <w:rsid w:val="006802A7"/>
    <w:rsid w:val="006803E6"/>
    <w:rsid w:val="00680C42"/>
    <w:rsid w:val="006814DD"/>
    <w:rsid w:val="00682BA7"/>
    <w:rsid w:val="006835B7"/>
    <w:rsid w:val="0068403F"/>
    <w:rsid w:val="00684E6B"/>
    <w:rsid w:val="0068649A"/>
    <w:rsid w:val="006905CD"/>
    <w:rsid w:val="00692DBF"/>
    <w:rsid w:val="00693175"/>
    <w:rsid w:val="00693A9C"/>
    <w:rsid w:val="00693E05"/>
    <w:rsid w:val="006940E6"/>
    <w:rsid w:val="006945A3"/>
    <w:rsid w:val="00694930"/>
    <w:rsid w:val="00695657"/>
    <w:rsid w:val="00695B53"/>
    <w:rsid w:val="00695BA5"/>
    <w:rsid w:val="00695BEA"/>
    <w:rsid w:val="00697249"/>
    <w:rsid w:val="00697F16"/>
    <w:rsid w:val="006A0564"/>
    <w:rsid w:val="006A0BB2"/>
    <w:rsid w:val="006A121A"/>
    <w:rsid w:val="006A19A8"/>
    <w:rsid w:val="006A1DC1"/>
    <w:rsid w:val="006A1E5B"/>
    <w:rsid w:val="006A2B4F"/>
    <w:rsid w:val="006A37B6"/>
    <w:rsid w:val="006A4224"/>
    <w:rsid w:val="006A5002"/>
    <w:rsid w:val="006A60D2"/>
    <w:rsid w:val="006A643C"/>
    <w:rsid w:val="006A7FDE"/>
    <w:rsid w:val="006B1D25"/>
    <w:rsid w:val="006B3BD6"/>
    <w:rsid w:val="006B3E3F"/>
    <w:rsid w:val="006B430C"/>
    <w:rsid w:val="006B48D0"/>
    <w:rsid w:val="006B6A2B"/>
    <w:rsid w:val="006B6E00"/>
    <w:rsid w:val="006B78F9"/>
    <w:rsid w:val="006C028A"/>
    <w:rsid w:val="006C052F"/>
    <w:rsid w:val="006C0B5C"/>
    <w:rsid w:val="006C382F"/>
    <w:rsid w:val="006C432D"/>
    <w:rsid w:val="006C434D"/>
    <w:rsid w:val="006C4FA5"/>
    <w:rsid w:val="006C586B"/>
    <w:rsid w:val="006C6DA6"/>
    <w:rsid w:val="006C76A7"/>
    <w:rsid w:val="006D01FA"/>
    <w:rsid w:val="006D163D"/>
    <w:rsid w:val="006D22C4"/>
    <w:rsid w:val="006D29D7"/>
    <w:rsid w:val="006D48CD"/>
    <w:rsid w:val="006D6E8C"/>
    <w:rsid w:val="006D78F4"/>
    <w:rsid w:val="006D7BBA"/>
    <w:rsid w:val="006D7F72"/>
    <w:rsid w:val="006E1380"/>
    <w:rsid w:val="006E2238"/>
    <w:rsid w:val="006E2B28"/>
    <w:rsid w:val="006E2E4F"/>
    <w:rsid w:val="006E3298"/>
    <w:rsid w:val="006E356A"/>
    <w:rsid w:val="006E575A"/>
    <w:rsid w:val="006E5C20"/>
    <w:rsid w:val="006E76CA"/>
    <w:rsid w:val="006E77ED"/>
    <w:rsid w:val="006F20D8"/>
    <w:rsid w:val="006F20DC"/>
    <w:rsid w:val="006F22DC"/>
    <w:rsid w:val="006F2BDF"/>
    <w:rsid w:val="006F3C5B"/>
    <w:rsid w:val="006F3D86"/>
    <w:rsid w:val="006F4314"/>
    <w:rsid w:val="006F4559"/>
    <w:rsid w:val="006F4B0D"/>
    <w:rsid w:val="006F642C"/>
    <w:rsid w:val="00702579"/>
    <w:rsid w:val="007025F7"/>
    <w:rsid w:val="00702F8E"/>
    <w:rsid w:val="0070353D"/>
    <w:rsid w:val="00703B2A"/>
    <w:rsid w:val="0070585D"/>
    <w:rsid w:val="00707113"/>
    <w:rsid w:val="0070769D"/>
    <w:rsid w:val="00707CA0"/>
    <w:rsid w:val="00707D76"/>
    <w:rsid w:val="00711893"/>
    <w:rsid w:val="007118FC"/>
    <w:rsid w:val="007123AB"/>
    <w:rsid w:val="00717223"/>
    <w:rsid w:val="00717443"/>
    <w:rsid w:val="00717E85"/>
    <w:rsid w:val="00720871"/>
    <w:rsid w:val="00721BEF"/>
    <w:rsid w:val="0072380E"/>
    <w:rsid w:val="00727516"/>
    <w:rsid w:val="00727A04"/>
    <w:rsid w:val="00730BDF"/>
    <w:rsid w:val="007311D5"/>
    <w:rsid w:val="0073305F"/>
    <w:rsid w:val="00733699"/>
    <w:rsid w:val="00734B04"/>
    <w:rsid w:val="00735B98"/>
    <w:rsid w:val="0073657C"/>
    <w:rsid w:val="007369E0"/>
    <w:rsid w:val="00736D0B"/>
    <w:rsid w:val="007370DF"/>
    <w:rsid w:val="0074001D"/>
    <w:rsid w:val="00740B6C"/>
    <w:rsid w:val="00743A4C"/>
    <w:rsid w:val="00744AD5"/>
    <w:rsid w:val="00744C5A"/>
    <w:rsid w:val="00745041"/>
    <w:rsid w:val="007453B1"/>
    <w:rsid w:val="00745FA8"/>
    <w:rsid w:val="007464BB"/>
    <w:rsid w:val="007475E4"/>
    <w:rsid w:val="00747F14"/>
    <w:rsid w:val="00750006"/>
    <w:rsid w:val="00750273"/>
    <w:rsid w:val="007509C8"/>
    <w:rsid w:val="007518F1"/>
    <w:rsid w:val="00751DFF"/>
    <w:rsid w:val="00751F10"/>
    <w:rsid w:val="0075341A"/>
    <w:rsid w:val="007560FD"/>
    <w:rsid w:val="007569E1"/>
    <w:rsid w:val="00756E8B"/>
    <w:rsid w:val="007578DF"/>
    <w:rsid w:val="00757971"/>
    <w:rsid w:val="00763B19"/>
    <w:rsid w:val="00763D6C"/>
    <w:rsid w:val="00764415"/>
    <w:rsid w:val="00764C5D"/>
    <w:rsid w:val="00765793"/>
    <w:rsid w:val="0076689F"/>
    <w:rsid w:val="00766E26"/>
    <w:rsid w:val="007676E3"/>
    <w:rsid w:val="00767779"/>
    <w:rsid w:val="00770FBA"/>
    <w:rsid w:val="007736A9"/>
    <w:rsid w:val="007755C7"/>
    <w:rsid w:val="00775C27"/>
    <w:rsid w:val="00780F7A"/>
    <w:rsid w:val="00784526"/>
    <w:rsid w:val="00784D41"/>
    <w:rsid w:val="007853C8"/>
    <w:rsid w:val="007854E2"/>
    <w:rsid w:val="00786EE9"/>
    <w:rsid w:val="007875FF"/>
    <w:rsid w:val="00787EC7"/>
    <w:rsid w:val="007916A4"/>
    <w:rsid w:val="00791E4F"/>
    <w:rsid w:val="007926E9"/>
    <w:rsid w:val="007932A7"/>
    <w:rsid w:val="007932F2"/>
    <w:rsid w:val="00794165"/>
    <w:rsid w:val="007945D5"/>
    <w:rsid w:val="00794631"/>
    <w:rsid w:val="00795FC3"/>
    <w:rsid w:val="007961D1"/>
    <w:rsid w:val="00797035"/>
    <w:rsid w:val="007A1AF8"/>
    <w:rsid w:val="007A1B77"/>
    <w:rsid w:val="007A2102"/>
    <w:rsid w:val="007A2DA6"/>
    <w:rsid w:val="007A2DB4"/>
    <w:rsid w:val="007A4510"/>
    <w:rsid w:val="007A4B97"/>
    <w:rsid w:val="007A5522"/>
    <w:rsid w:val="007A7621"/>
    <w:rsid w:val="007B011E"/>
    <w:rsid w:val="007B0A17"/>
    <w:rsid w:val="007B0AA5"/>
    <w:rsid w:val="007B1D3E"/>
    <w:rsid w:val="007B1ED6"/>
    <w:rsid w:val="007B2240"/>
    <w:rsid w:val="007B2EEA"/>
    <w:rsid w:val="007B3720"/>
    <w:rsid w:val="007B3DC7"/>
    <w:rsid w:val="007B452C"/>
    <w:rsid w:val="007B4DB2"/>
    <w:rsid w:val="007C0252"/>
    <w:rsid w:val="007C0265"/>
    <w:rsid w:val="007C12B6"/>
    <w:rsid w:val="007C2FB4"/>
    <w:rsid w:val="007C35AA"/>
    <w:rsid w:val="007C3A15"/>
    <w:rsid w:val="007C456B"/>
    <w:rsid w:val="007C4FB2"/>
    <w:rsid w:val="007C5E93"/>
    <w:rsid w:val="007C5FDB"/>
    <w:rsid w:val="007C60B6"/>
    <w:rsid w:val="007C61A9"/>
    <w:rsid w:val="007C6CD5"/>
    <w:rsid w:val="007C6D09"/>
    <w:rsid w:val="007D01D2"/>
    <w:rsid w:val="007D19E5"/>
    <w:rsid w:val="007D1B0B"/>
    <w:rsid w:val="007D2385"/>
    <w:rsid w:val="007D32BE"/>
    <w:rsid w:val="007D37F8"/>
    <w:rsid w:val="007D4EA8"/>
    <w:rsid w:val="007D505C"/>
    <w:rsid w:val="007D506F"/>
    <w:rsid w:val="007D587F"/>
    <w:rsid w:val="007D74BD"/>
    <w:rsid w:val="007E0017"/>
    <w:rsid w:val="007E02C5"/>
    <w:rsid w:val="007E0C6B"/>
    <w:rsid w:val="007E2183"/>
    <w:rsid w:val="007E2B92"/>
    <w:rsid w:val="007E4057"/>
    <w:rsid w:val="007E5640"/>
    <w:rsid w:val="007E6605"/>
    <w:rsid w:val="007E7048"/>
    <w:rsid w:val="007F03F8"/>
    <w:rsid w:val="007F29CB"/>
    <w:rsid w:val="007F3840"/>
    <w:rsid w:val="007F3F84"/>
    <w:rsid w:val="007F49D7"/>
    <w:rsid w:val="007F4A25"/>
    <w:rsid w:val="007F5204"/>
    <w:rsid w:val="007F521F"/>
    <w:rsid w:val="007F5249"/>
    <w:rsid w:val="007F614B"/>
    <w:rsid w:val="007F6BA6"/>
    <w:rsid w:val="007F6D00"/>
    <w:rsid w:val="007F7DDC"/>
    <w:rsid w:val="00800591"/>
    <w:rsid w:val="00800940"/>
    <w:rsid w:val="008016E7"/>
    <w:rsid w:val="0080197A"/>
    <w:rsid w:val="00803469"/>
    <w:rsid w:val="008040C7"/>
    <w:rsid w:val="008041A5"/>
    <w:rsid w:val="00805350"/>
    <w:rsid w:val="00807839"/>
    <w:rsid w:val="00807ACF"/>
    <w:rsid w:val="0081115D"/>
    <w:rsid w:val="00811582"/>
    <w:rsid w:val="008124E6"/>
    <w:rsid w:val="00812EC8"/>
    <w:rsid w:val="0081409E"/>
    <w:rsid w:val="00814C70"/>
    <w:rsid w:val="00814E34"/>
    <w:rsid w:val="008156AF"/>
    <w:rsid w:val="00815884"/>
    <w:rsid w:val="008161AD"/>
    <w:rsid w:val="00816E09"/>
    <w:rsid w:val="00817706"/>
    <w:rsid w:val="008178BD"/>
    <w:rsid w:val="00817B31"/>
    <w:rsid w:val="00817CC6"/>
    <w:rsid w:val="00820501"/>
    <w:rsid w:val="00820BFE"/>
    <w:rsid w:val="00822231"/>
    <w:rsid w:val="008223A8"/>
    <w:rsid w:val="00822C1F"/>
    <w:rsid w:val="008246EB"/>
    <w:rsid w:val="00826665"/>
    <w:rsid w:val="008267D2"/>
    <w:rsid w:val="00826BC4"/>
    <w:rsid w:val="008273AD"/>
    <w:rsid w:val="00827752"/>
    <w:rsid w:val="00830658"/>
    <w:rsid w:val="0083120A"/>
    <w:rsid w:val="008318AD"/>
    <w:rsid w:val="00833148"/>
    <w:rsid w:val="008331AD"/>
    <w:rsid w:val="00833B99"/>
    <w:rsid w:val="00835A07"/>
    <w:rsid w:val="00836353"/>
    <w:rsid w:val="008364B6"/>
    <w:rsid w:val="0083707D"/>
    <w:rsid w:val="00841782"/>
    <w:rsid w:val="008434EE"/>
    <w:rsid w:val="00843EF2"/>
    <w:rsid w:val="00844195"/>
    <w:rsid w:val="008462EB"/>
    <w:rsid w:val="00846C20"/>
    <w:rsid w:val="00846FD3"/>
    <w:rsid w:val="00851532"/>
    <w:rsid w:val="008529A6"/>
    <w:rsid w:val="00853790"/>
    <w:rsid w:val="00856372"/>
    <w:rsid w:val="008563EE"/>
    <w:rsid w:val="00856AE8"/>
    <w:rsid w:val="0085703E"/>
    <w:rsid w:val="0085790F"/>
    <w:rsid w:val="00857C31"/>
    <w:rsid w:val="0086123E"/>
    <w:rsid w:val="00861593"/>
    <w:rsid w:val="00861AC8"/>
    <w:rsid w:val="00862493"/>
    <w:rsid w:val="0086341C"/>
    <w:rsid w:val="00863C11"/>
    <w:rsid w:val="008647B0"/>
    <w:rsid w:val="0086481B"/>
    <w:rsid w:val="00864FED"/>
    <w:rsid w:val="008663B5"/>
    <w:rsid w:val="008665EA"/>
    <w:rsid w:val="0086666B"/>
    <w:rsid w:val="00867373"/>
    <w:rsid w:val="00870484"/>
    <w:rsid w:val="008717B3"/>
    <w:rsid w:val="00872902"/>
    <w:rsid w:val="00873315"/>
    <w:rsid w:val="00873613"/>
    <w:rsid w:val="008748E1"/>
    <w:rsid w:val="00875F29"/>
    <w:rsid w:val="00876302"/>
    <w:rsid w:val="00876A5B"/>
    <w:rsid w:val="00877B3B"/>
    <w:rsid w:val="00877E7D"/>
    <w:rsid w:val="00877ED4"/>
    <w:rsid w:val="00881F56"/>
    <w:rsid w:val="00882341"/>
    <w:rsid w:val="008827B0"/>
    <w:rsid w:val="00882843"/>
    <w:rsid w:val="00883655"/>
    <w:rsid w:val="0088390F"/>
    <w:rsid w:val="0088446B"/>
    <w:rsid w:val="00884783"/>
    <w:rsid w:val="00884AF3"/>
    <w:rsid w:val="00885529"/>
    <w:rsid w:val="008857B6"/>
    <w:rsid w:val="008865A4"/>
    <w:rsid w:val="0088686E"/>
    <w:rsid w:val="00886DB8"/>
    <w:rsid w:val="00887501"/>
    <w:rsid w:val="00887AA3"/>
    <w:rsid w:val="008922D8"/>
    <w:rsid w:val="00892E8B"/>
    <w:rsid w:val="00892E9A"/>
    <w:rsid w:val="00893D18"/>
    <w:rsid w:val="00894CC0"/>
    <w:rsid w:val="00895048"/>
    <w:rsid w:val="00895BE9"/>
    <w:rsid w:val="00895DC2"/>
    <w:rsid w:val="0089611A"/>
    <w:rsid w:val="0089725F"/>
    <w:rsid w:val="0089728E"/>
    <w:rsid w:val="00897A7D"/>
    <w:rsid w:val="008A0A99"/>
    <w:rsid w:val="008A156D"/>
    <w:rsid w:val="008A1B30"/>
    <w:rsid w:val="008A1C7F"/>
    <w:rsid w:val="008A1E5A"/>
    <w:rsid w:val="008A3BF6"/>
    <w:rsid w:val="008A4427"/>
    <w:rsid w:val="008A4E8E"/>
    <w:rsid w:val="008A5CA5"/>
    <w:rsid w:val="008A66C1"/>
    <w:rsid w:val="008A6732"/>
    <w:rsid w:val="008B00A8"/>
    <w:rsid w:val="008B0398"/>
    <w:rsid w:val="008B03BB"/>
    <w:rsid w:val="008B09EC"/>
    <w:rsid w:val="008B0A1D"/>
    <w:rsid w:val="008B1E26"/>
    <w:rsid w:val="008B324E"/>
    <w:rsid w:val="008B421D"/>
    <w:rsid w:val="008B50F9"/>
    <w:rsid w:val="008B5CCD"/>
    <w:rsid w:val="008B5EDD"/>
    <w:rsid w:val="008B713D"/>
    <w:rsid w:val="008B7FA2"/>
    <w:rsid w:val="008C077D"/>
    <w:rsid w:val="008C141A"/>
    <w:rsid w:val="008C3891"/>
    <w:rsid w:val="008C3DA8"/>
    <w:rsid w:val="008C6226"/>
    <w:rsid w:val="008D078C"/>
    <w:rsid w:val="008D0C92"/>
    <w:rsid w:val="008D3497"/>
    <w:rsid w:val="008D4B36"/>
    <w:rsid w:val="008D4C28"/>
    <w:rsid w:val="008D556B"/>
    <w:rsid w:val="008D5ECB"/>
    <w:rsid w:val="008D6BAD"/>
    <w:rsid w:val="008E0EB4"/>
    <w:rsid w:val="008E1284"/>
    <w:rsid w:val="008E16E9"/>
    <w:rsid w:val="008E2E4F"/>
    <w:rsid w:val="008E2FA6"/>
    <w:rsid w:val="008E33C0"/>
    <w:rsid w:val="008E36C8"/>
    <w:rsid w:val="008E5688"/>
    <w:rsid w:val="008E798A"/>
    <w:rsid w:val="008F186E"/>
    <w:rsid w:val="008F234C"/>
    <w:rsid w:val="008F26A2"/>
    <w:rsid w:val="008F2D18"/>
    <w:rsid w:val="008F338D"/>
    <w:rsid w:val="008F4268"/>
    <w:rsid w:val="008F4309"/>
    <w:rsid w:val="008F5161"/>
    <w:rsid w:val="008F58A9"/>
    <w:rsid w:val="008F5C15"/>
    <w:rsid w:val="008F657D"/>
    <w:rsid w:val="008F675B"/>
    <w:rsid w:val="008F6BF7"/>
    <w:rsid w:val="008F7D4E"/>
    <w:rsid w:val="00900048"/>
    <w:rsid w:val="00901FA0"/>
    <w:rsid w:val="00902D31"/>
    <w:rsid w:val="009047D0"/>
    <w:rsid w:val="00904D5D"/>
    <w:rsid w:val="00905954"/>
    <w:rsid w:val="00905BF7"/>
    <w:rsid w:val="00905E64"/>
    <w:rsid w:val="00906483"/>
    <w:rsid w:val="00906823"/>
    <w:rsid w:val="0090736E"/>
    <w:rsid w:val="009075A4"/>
    <w:rsid w:val="00907BF1"/>
    <w:rsid w:val="00907D30"/>
    <w:rsid w:val="00907D60"/>
    <w:rsid w:val="0091005D"/>
    <w:rsid w:val="009105E2"/>
    <w:rsid w:val="0091120F"/>
    <w:rsid w:val="009116B8"/>
    <w:rsid w:val="00912CF3"/>
    <w:rsid w:val="00912F6B"/>
    <w:rsid w:val="00913805"/>
    <w:rsid w:val="009142C7"/>
    <w:rsid w:val="009148B0"/>
    <w:rsid w:val="0091537E"/>
    <w:rsid w:val="00915B49"/>
    <w:rsid w:val="0091604A"/>
    <w:rsid w:val="0091682D"/>
    <w:rsid w:val="009168F4"/>
    <w:rsid w:val="00917A34"/>
    <w:rsid w:val="009205AA"/>
    <w:rsid w:val="00920A64"/>
    <w:rsid w:val="00922E07"/>
    <w:rsid w:val="00925766"/>
    <w:rsid w:val="00926EE4"/>
    <w:rsid w:val="009279BA"/>
    <w:rsid w:val="00930778"/>
    <w:rsid w:val="00930F89"/>
    <w:rsid w:val="0093199E"/>
    <w:rsid w:val="00931DC9"/>
    <w:rsid w:val="0093206E"/>
    <w:rsid w:val="00932902"/>
    <w:rsid w:val="00933D8B"/>
    <w:rsid w:val="0093491D"/>
    <w:rsid w:val="00934ED1"/>
    <w:rsid w:val="009374DB"/>
    <w:rsid w:val="00940FCA"/>
    <w:rsid w:val="00941166"/>
    <w:rsid w:val="00941217"/>
    <w:rsid w:val="00941684"/>
    <w:rsid w:val="00941C14"/>
    <w:rsid w:val="00942455"/>
    <w:rsid w:val="0094248F"/>
    <w:rsid w:val="00942941"/>
    <w:rsid w:val="00945746"/>
    <w:rsid w:val="009463C2"/>
    <w:rsid w:val="0094653C"/>
    <w:rsid w:val="00946659"/>
    <w:rsid w:val="009467C6"/>
    <w:rsid w:val="00946B7C"/>
    <w:rsid w:val="00947EC9"/>
    <w:rsid w:val="00950AE5"/>
    <w:rsid w:val="00950F4D"/>
    <w:rsid w:val="0095107D"/>
    <w:rsid w:val="009512A8"/>
    <w:rsid w:val="00951C95"/>
    <w:rsid w:val="00952DB6"/>
    <w:rsid w:val="00953316"/>
    <w:rsid w:val="0095337A"/>
    <w:rsid w:val="00953CB2"/>
    <w:rsid w:val="00954894"/>
    <w:rsid w:val="00954B73"/>
    <w:rsid w:val="00955214"/>
    <w:rsid w:val="00955344"/>
    <w:rsid w:val="009561D2"/>
    <w:rsid w:val="009604FF"/>
    <w:rsid w:val="00962939"/>
    <w:rsid w:val="009639AD"/>
    <w:rsid w:val="00963BDB"/>
    <w:rsid w:val="00964256"/>
    <w:rsid w:val="0096446D"/>
    <w:rsid w:val="009647B1"/>
    <w:rsid w:val="00965B4A"/>
    <w:rsid w:val="00965CA2"/>
    <w:rsid w:val="00967098"/>
    <w:rsid w:val="0096766A"/>
    <w:rsid w:val="00970F6B"/>
    <w:rsid w:val="0097135A"/>
    <w:rsid w:val="00974115"/>
    <w:rsid w:val="009745B8"/>
    <w:rsid w:val="00974A1A"/>
    <w:rsid w:val="009760B3"/>
    <w:rsid w:val="00980252"/>
    <w:rsid w:val="0098047E"/>
    <w:rsid w:val="00980969"/>
    <w:rsid w:val="009810D1"/>
    <w:rsid w:val="00981B11"/>
    <w:rsid w:val="00982830"/>
    <w:rsid w:val="00982F08"/>
    <w:rsid w:val="0098407A"/>
    <w:rsid w:val="009845B6"/>
    <w:rsid w:val="00984E14"/>
    <w:rsid w:val="00986184"/>
    <w:rsid w:val="00986B81"/>
    <w:rsid w:val="00986E0C"/>
    <w:rsid w:val="00987DAE"/>
    <w:rsid w:val="009911D4"/>
    <w:rsid w:val="009919F4"/>
    <w:rsid w:val="00992609"/>
    <w:rsid w:val="009953CC"/>
    <w:rsid w:val="00995BCF"/>
    <w:rsid w:val="0099701F"/>
    <w:rsid w:val="009A0B6F"/>
    <w:rsid w:val="009A143C"/>
    <w:rsid w:val="009A1FC5"/>
    <w:rsid w:val="009A23F6"/>
    <w:rsid w:val="009A29AD"/>
    <w:rsid w:val="009A3323"/>
    <w:rsid w:val="009A38CC"/>
    <w:rsid w:val="009A39E5"/>
    <w:rsid w:val="009A3D70"/>
    <w:rsid w:val="009A54EF"/>
    <w:rsid w:val="009A6409"/>
    <w:rsid w:val="009B04FE"/>
    <w:rsid w:val="009B10DE"/>
    <w:rsid w:val="009B115F"/>
    <w:rsid w:val="009B12AB"/>
    <w:rsid w:val="009B2FE4"/>
    <w:rsid w:val="009B33EB"/>
    <w:rsid w:val="009B4CCC"/>
    <w:rsid w:val="009B550E"/>
    <w:rsid w:val="009B5BD2"/>
    <w:rsid w:val="009B5C3B"/>
    <w:rsid w:val="009B7C1D"/>
    <w:rsid w:val="009C13F7"/>
    <w:rsid w:val="009C1F56"/>
    <w:rsid w:val="009C22EF"/>
    <w:rsid w:val="009C2B50"/>
    <w:rsid w:val="009C4081"/>
    <w:rsid w:val="009C4585"/>
    <w:rsid w:val="009C5D9C"/>
    <w:rsid w:val="009C693D"/>
    <w:rsid w:val="009C74D7"/>
    <w:rsid w:val="009D0B58"/>
    <w:rsid w:val="009D0E35"/>
    <w:rsid w:val="009D1A0D"/>
    <w:rsid w:val="009D320F"/>
    <w:rsid w:val="009D5AD4"/>
    <w:rsid w:val="009D7334"/>
    <w:rsid w:val="009D73CE"/>
    <w:rsid w:val="009E0D7B"/>
    <w:rsid w:val="009E2BA0"/>
    <w:rsid w:val="009E38B1"/>
    <w:rsid w:val="009E482D"/>
    <w:rsid w:val="009E5172"/>
    <w:rsid w:val="009E5562"/>
    <w:rsid w:val="009E5981"/>
    <w:rsid w:val="009E5C0D"/>
    <w:rsid w:val="009E5EF2"/>
    <w:rsid w:val="009E5F9E"/>
    <w:rsid w:val="009E614C"/>
    <w:rsid w:val="009E61FF"/>
    <w:rsid w:val="009E6893"/>
    <w:rsid w:val="009E784D"/>
    <w:rsid w:val="009F29C6"/>
    <w:rsid w:val="009F36CD"/>
    <w:rsid w:val="009F47DB"/>
    <w:rsid w:val="009F4E0A"/>
    <w:rsid w:val="009F5043"/>
    <w:rsid w:val="009F50A7"/>
    <w:rsid w:val="009F56A7"/>
    <w:rsid w:val="009F6144"/>
    <w:rsid w:val="009F699B"/>
    <w:rsid w:val="009F6B3E"/>
    <w:rsid w:val="009F6E55"/>
    <w:rsid w:val="009F7390"/>
    <w:rsid w:val="009F77F2"/>
    <w:rsid w:val="00A0033C"/>
    <w:rsid w:val="00A00D14"/>
    <w:rsid w:val="00A01D33"/>
    <w:rsid w:val="00A03EFA"/>
    <w:rsid w:val="00A04835"/>
    <w:rsid w:val="00A06ADD"/>
    <w:rsid w:val="00A120E9"/>
    <w:rsid w:val="00A12404"/>
    <w:rsid w:val="00A1345C"/>
    <w:rsid w:val="00A13587"/>
    <w:rsid w:val="00A16993"/>
    <w:rsid w:val="00A21B91"/>
    <w:rsid w:val="00A22597"/>
    <w:rsid w:val="00A2263D"/>
    <w:rsid w:val="00A22F1C"/>
    <w:rsid w:val="00A23EBE"/>
    <w:rsid w:val="00A24689"/>
    <w:rsid w:val="00A24825"/>
    <w:rsid w:val="00A24AAC"/>
    <w:rsid w:val="00A257C2"/>
    <w:rsid w:val="00A25DE9"/>
    <w:rsid w:val="00A2654E"/>
    <w:rsid w:val="00A276D4"/>
    <w:rsid w:val="00A277E3"/>
    <w:rsid w:val="00A27E32"/>
    <w:rsid w:val="00A30534"/>
    <w:rsid w:val="00A34008"/>
    <w:rsid w:val="00A35396"/>
    <w:rsid w:val="00A3602E"/>
    <w:rsid w:val="00A366E3"/>
    <w:rsid w:val="00A366F4"/>
    <w:rsid w:val="00A3761A"/>
    <w:rsid w:val="00A400E3"/>
    <w:rsid w:val="00A40907"/>
    <w:rsid w:val="00A41A26"/>
    <w:rsid w:val="00A41DA9"/>
    <w:rsid w:val="00A41E94"/>
    <w:rsid w:val="00A421F5"/>
    <w:rsid w:val="00A42356"/>
    <w:rsid w:val="00A44F56"/>
    <w:rsid w:val="00A465CD"/>
    <w:rsid w:val="00A5003A"/>
    <w:rsid w:val="00A50D37"/>
    <w:rsid w:val="00A52045"/>
    <w:rsid w:val="00A52D2F"/>
    <w:rsid w:val="00A54E46"/>
    <w:rsid w:val="00A556B8"/>
    <w:rsid w:val="00A56243"/>
    <w:rsid w:val="00A56460"/>
    <w:rsid w:val="00A5671C"/>
    <w:rsid w:val="00A60272"/>
    <w:rsid w:val="00A61912"/>
    <w:rsid w:val="00A61A0C"/>
    <w:rsid w:val="00A62E0C"/>
    <w:rsid w:val="00A6305A"/>
    <w:rsid w:val="00A630D4"/>
    <w:rsid w:val="00A635F8"/>
    <w:rsid w:val="00A63CD9"/>
    <w:rsid w:val="00A63FDE"/>
    <w:rsid w:val="00A656CF"/>
    <w:rsid w:val="00A66CA3"/>
    <w:rsid w:val="00A675C0"/>
    <w:rsid w:val="00A705C2"/>
    <w:rsid w:val="00A70A8B"/>
    <w:rsid w:val="00A70E3F"/>
    <w:rsid w:val="00A7142C"/>
    <w:rsid w:val="00A714A8"/>
    <w:rsid w:val="00A727DA"/>
    <w:rsid w:val="00A72C45"/>
    <w:rsid w:val="00A733B5"/>
    <w:rsid w:val="00A74BB9"/>
    <w:rsid w:val="00A74D01"/>
    <w:rsid w:val="00A74D31"/>
    <w:rsid w:val="00A755B6"/>
    <w:rsid w:val="00A75F57"/>
    <w:rsid w:val="00A7699B"/>
    <w:rsid w:val="00A76EB8"/>
    <w:rsid w:val="00A772DF"/>
    <w:rsid w:val="00A808B7"/>
    <w:rsid w:val="00A810C9"/>
    <w:rsid w:val="00A81200"/>
    <w:rsid w:val="00A8177B"/>
    <w:rsid w:val="00A82702"/>
    <w:rsid w:val="00A82FEF"/>
    <w:rsid w:val="00A844CF"/>
    <w:rsid w:val="00A85CDD"/>
    <w:rsid w:val="00A86771"/>
    <w:rsid w:val="00A870F4"/>
    <w:rsid w:val="00A90497"/>
    <w:rsid w:val="00A91722"/>
    <w:rsid w:val="00A923FE"/>
    <w:rsid w:val="00A92722"/>
    <w:rsid w:val="00A960E8"/>
    <w:rsid w:val="00A96741"/>
    <w:rsid w:val="00A96C19"/>
    <w:rsid w:val="00AA04CD"/>
    <w:rsid w:val="00AA0A30"/>
    <w:rsid w:val="00AA1524"/>
    <w:rsid w:val="00AA2258"/>
    <w:rsid w:val="00AA2644"/>
    <w:rsid w:val="00AA3ED4"/>
    <w:rsid w:val="00AA4620"/>
    <w:rsid w:val="00AA4F57"/>
    <w:rsid w:val="00AA675B"/>
    <w:rsid w:val="00AA756A"/>
    <w:rsid w:val="00AA79D7"/>
    <w:rsid w:val="00AA7CCE"/>
    <w:rsid w:val="00AB0617"/>
    <w:rsid w:val="00AB0FE8"/>
    <w:rsid w:val="00AB171E"/>
    <w:rsid w:val="00AB3C60"/>
    <w:rsid w:val="00AB54B8"/>
    <w:rsid w:val="00AB59CC"/>
    <w:rsid w:val="00AB5D86"/>
    <w:rsid w:val="00AB6AFB"/>
    <w:rsid w:val="00AB70A8"/>
    <w:rsid w:val="00AB711A"/>
    <w:rsid w:val="00AB7D82"/>
    <w:rsid w:val="00AC023D"/>
    <w:rsid w:val="00AC0788"/>
    <w:rsid w:val="00AC0953"/>
    <w:rsid w:val="00AC1066"/>
    <w:rsid w:val="00AC1D3E"/>
    <w:rsid w:val="00AC3009"/>
    <w:rsid w:val="00AC35BD"/>
    <w:rsid w:val="00AC3B73"/>
    <w:rsid w:val="00AC441A"/>
    <w:rsid w:val="00AC4487"/>
    <w:rsid w:val="00AC64AB"/>
    <w:rsid w:val="00AD0079"/>
    <w:rsid w:val="00AD050C"/>
    <w:rsid w:val="00AD0753"/>
    <w:rsid w:val="00AD0EB7"/>
    <w:rsid w:val="00AD1143"/>
    <w:rsid w:val="00AD1E11"/>
    <w:rsid w:val="00AD3075"/>
    <w:rsid w:val="00AD3F6C"/>
    <w:rsid w:val="00AD447F"/>
    <w:rsid w:val="00AD5ADD"/>
    <w:rsid w:val="00AD5AE2"/>
    <w:rsid w:val="00AD677E"/>
    <w:rsid w:val="00AD69FE"/>
    <w:rsid w:val="00AD6E55"/>
    <w:rsid w:val="00AD777F"/>
    <w:rsid w:val="00AE038A"/>
    <w:rsid w:val="00AE051E"/>
    <w:rsid w:val="00AE09C8"/>
    <w:rsid w:val="00AE2C29"/>
    <w:rsid w:val="00AE2FE1"/>
    <w:rsid w:val="00AE4640"/>
    <w:rsid w:val="00AE46E1"/>
    <w:rsid w:val="00AE754B"/>
    <w:rsid w:val="00AE767A"/>
    <w:rsid w:val="00AE7AA6"/>
    <w:rsid w:val="00AF03DC"/>
    <w:rsid w:val="00AF1313"/>
    <w:rsid w:val="00AF19C9"/>
    <w:rsid w:val="00AF2630"/>
    <w:rsid w:val="00AF327C"/>
    <w:rsid w:val="00AF3F95"/>
    <w:rsid w:val="00AF4DB2"/>
    <w:rsid w:val="00AF4E04"/>
    <w:rsid w:val="00AF543F"/>
    <w:rsid w:val="00AF5B2B"/>
    <w:rsid w:val="00AF6E06"/>
    <w:rsid w:val="00AF7464"/>
    <w:rsid w:val="00B004C4"/>
    <w:rsid w:val="00B007C7"/>
    <w:rsid w:val="00B0149B"/>
    <w:rsid w:val="00B01879"/>
    <w:rsid w:val="00B01B1A"/>
    <w:rsid w:val="00B01B5C"/>
    <w:rsid w:val="00B0294F"/>
    <w:rsid w:val="00B0317B"/>
    <w:rsid w:val="00B03430"/>
    <w:rsid w:val="00B07C47"/>
    <w:rsid w:val="00B10932"/>
    <w:rsid w:val="00B11B2B"/>
    <w:rsid w:val="00B11FB2"/>
    <w:rsid w:val="00B1288A"/>
    <w:rsid w:val="00B12B40"/>
    <w:rsid w:val="00B12DAA"/>
    <w:rsid w:val="00B14452"/>
    <w:rsid w:val="00B16CE4"/>
    <w:rsid w:val="00B16F60"/>
    <w:rsid w:val="00B17398"/>
    <w:rsid w:val="00B20467"/>
    <w:rsid w:val="00B20688"/>
    <w:rsid w:val="00B21790"/>
    <w:rsid w:val="00B2206C"/>
    <w:rsid w:val="00B22CF9"/>
    <w:rsid w:val="00B259B5"/>
    <w:rsid w:val="00B26283"/>
    <w:rsid w:val="00B269B6"/>
    <w:rsid w:val="00B309D8"/>
    <w:rsid w:val="00B31850"/>
    <w:rsid w:val="00B31BB3"/>
    <w:rsid w:val="00B33B77"/>
    <w:rsid w:val="00B35A59"/>
    <w:rsid w:val="00B36B5E"/>
    <w:rsid w:val="00B3758B"/>
    <w:rsid w:val="00B40F49"/>
    <w:rsid w:val="00B41BC8"/>
    <w:rsid w:val="00B41F33"/>
    <w:rsid w:val="00B43CD6"/>
    <w:rsid w:val="00B43DF4"/>
    <w:rsid w:val="00B465F2"/>
    <w:rsid w:val="00B46DA8"/>
    <w:rsid w:val="00B4737D"/>
    <w:rsid w:val="00B47BE4"/>
    <w:rsid w:val="00B50363"/>
    <w:rsid w:val="00B504BD"/>
    <w:rsid w:val="00B513BF"/>
    <w:rsid w:val="00B527ED"/>
    <w:rsid w:val="00B5380B"/>
    <w:rsid w:val="00B53856"/>
    <w:rsid w:val="00B53C29"/>
    <w:rsid w:val="00B561FA"/>
    <w:rsid w:val="00B56BB1"/>
    <w:rsid w:val="00B572C9"/>
    <w:rsid w:val="00B57E72"/>
    <w:rsid w:val="00B57E7F"/>
    <w:rsid w:val="00B60097"/>
    <w:rsid w:val="00B602C4"/>
    <w:rsid w:val="00B606C9"/>
    <w:rsid w:val="00B61DA9"/>
    <w:rsid w:val="00B623F3"/>
    <w:rsid w:val="00B62D33"/>
    <w:rsid w:val="00B63C73"/>
    <w:rsid w:val="00B64BE4"/>
    <w:rsid w:val="00B64F48"/>
    <w:rsid w:val="00B66E83"/>
    <w:rsid w:val="00B6704F"/>
    <w:rsid w:val="00B67B23"/>
    <w:rsid w:val="00B67BED"/>
    <w:rsid w:val="00B67C83"/>
    <w:rsid w:val="00B73798"/>
    <w:rsid w:val="00B7433A"/>
    <w:rsid w:val="00B76BA0"/>
    <w:rsid w:val="00B76C47"/>
    <w:rsid w:val="00B77FDF"/>
    <w:rsid w:val="00B80BA1"/>
    <w:rsid w:val="00B82844"/>
    <w:rsid w:val="00B842BC"/>
    <w:rsid w:val="00B87BB4"/>
    <w:rsid w:val="00B87D24"/>
    <w:rsid w:val="00B929F4"/>
    <w:rsid w:val="00B92FAD"/>
    <w:rsid w:val="00B9325D"/>
    <w:rsid w:val="00B9418E"/>
    <w:rsid w:val="00B9519F"/>
    <w:rsid w:val="00B96FDD"/>
    <w:rsid w:val="00B97537"/>
    <w:rsid w:val="00B977F9"/>
    <w:rsid w:val="00B9791D"/>
    <w:rsid w:val="00BA0660"/>
    <w:rsid w:val="00BA1760"/>
    <w:rsid w:val="00BA247C"/>
    <w:rsid w:val="00BA33A7"/>
    <w:rsid w:val="00BA3F8D"/>
    <w:rsid w:val="00BA4499"/>
    <w:rsid w:val="00BA5A8E"/>
    <w:rsid w:val="00BA5ED8"/>
    <w:rsid w:val="00BA6527"/>
    <w:rsid w:val="00BA67B9"/>
    <w:rsid w:val="00BA7096"/>
    <w:rsid w:val="00BA7152"/>
    <w:rsid w:val="00BA7788"/>
    <w:rsid w:val="00BA7CDD"/>
    <w:rsid w:val="00BA7FF6"/>
    <w:rsid w:val="00BB0578"/>
    <w:rsid w:val="00BB0B92"/>
    <w:rsid w:val="00BB0F39"/>
    <w:rsid w:val="00BB133E"/>
    <w:rsid w:val="00BB1569"/>
    <w:rsid w:val="00BB1D7D"/>
    <w:rsid w:val="00BB31AA"/>
    <w:rsid w:val="00BB35D3"/>
    <w:rsid w:val="00BB3C9C"/>
    <w:rsid w:val="00BB62C5"/>
    <w:rsid w:val="00BB6EFE"/>
    <w:rsid w:val="00BB6F5E"/>
    <w:rsid w:val="00BC0C8D"/>
    <w:rsid w:val="00BC15A7"/>
    <w:rsid w:val="00BC193A"/>
    <w:rsid w:val="00BC24E3"/>
    <w:rsid w:val="00BC25E2"/>
    <w:rsid w:val="00BC268B"/>
    <w:rsid w:val="00BC26C4"/>
    <w:rsid w:val="00BC43E7"/>
    <w:rsid w:val="00BC4847"/>
    <w:rsid w:val="00BC4D96"/>
    <w:rsid w:val="00BC5A0C"/>
    <w:rsid w:val="00BC6258"/>
    <w:rsid w:val="00BC6788"/>
    <w:rsid w:val="00BC6BF2"/>
    <w:rsid w:val="00BC6CD2"/>
    <w:rsid w:val="00BC782A"/>
    <w:rsid w:val="00BD0009"/>
    <w:rsid w:val="00BD0817"/>
    <w:rsid w:val="00BD0ECD"/>
    <w:rsid w:val="00BD0F8C"/>
    <w:rsid w:val="00BD1641"/>
    <w:rsid w:val="00BD1904"/>
    <w:rsid w:val="00BD22FC"/>
    <w:rsid w:val="00BD2A75"/>
    <w:rsid w:val="00BD2C9D"/>
    <w:rsid w:val="00BD3033"/>
    <w:rsid w:val="00BD3653"/>
    <w:rsid w:val="00BD4B85"/>
    <w:rsid w:val="00BD5F1C"/>
    <w:rsid w:val="00BD6D5C"/>
    <w:rsid w:val="00BE0353"/>
    <w:rsid w:val="00BE041C"/>
    <w:rsid w:val="00BE1870"/>
    <w:rsid w:val="00BE2566"/>
    <w:rsid w:val="00BE30B3"/>
    <w:rsid w:val="00BE4899"/>
    <w:rsid w:val="00BE490B"/>
    <w:rsid w:val="00BE5430"/>
    <w:rsid w:val="00BE5B5A"/>
    <w:rsid w:val="00BE600D"/>
    <w:rsid w:val="00BE61C3"/>
    <w:rsid w:val="00BF0CB9"/>
    <w:rsid w:val="00BF1F16"/>
    <w:rsid w:val="00BF2331"/>
    <w:rsid w:val="00BF24F6"/>
    <w:rsid w:val="00BF333E"/>
    <w:rsid w:val="00BF3465"/>
    <w:rsid w:val="00BF3664"/>
    <w:rsid w:val="00BF6821"/>
    <w:rsid w:val="00BF6870"/>
    <w:rsid w:val="00BF702D"/>
    <w:rsid w:val="00BF77CE"/>
    <w:rsid w:val="00C00A0F"/>
    <w:rsid w:val="00C0119F"/>
    <w:rsid w:val="00C0154D"/>
    <w:rsid w:val="00C02A7D"/>
    <w:rsid w:val="00C02E52"/>
    <w:rsid w:val="00C035B7"/>
    <w:rsid w:val="00C03608"/>
    <w:rsid w:val="00C0362E"/>
    <w:rsid w:val="00C03D9A"/>
    <w:rsid w:val="00C040F0"/>
    <w:rsid w:val="00C04FD0"/>
    <w:rsid w:val="00C0543D"/>
    <w:rsid w:val="00C059B8"/>
    <w:rsid w:val="00C06875"/>
    <w:rsid w:val="00C06AC6"/>
    <w:rsid w:val="00C06DCA"/>
    <w:rsid w:val="00C077FC"/>
    <w:rsid w:val="00C10438"/>
    <w:rsid w:val="00C118DB"/>
    <w:rsid w:val="00C12D7D"/>
    <w:rsid w:val="00C12EDC"/>
    <w:rsid w:val="00C14639"/>
    <w:rsid w:val="00C14E07"/>
    <w:rsid w:val="00C15284"/>
    <w:rsid w:val="00C15D32"/>
    <w:rsid w:val="00C163C0"/>
    <w:rsid w:val="00C167AF"/>
    <w:rsid w:val="00C16BB6"/>
    <w:rsid w:val="00C21DFB"/>
    <w:rsid w:val="00C22640"/>
    <w:rsid w:val="00C22B6A"/>
    <w:rsid w:val="00C23083"/>
    <w:rsid w:val="00C23260"/>
    <w:rsid w:val="00C23D20"/>
    <w:rsid w:val="00C24029"/>
    <w:rsid w:val="00C266CB"/>
    <w:rsid w:val="00C27093"/>
    <w:rsid w:val="00C3094E"/>
    <w:rsid w:val="00C31436"/>
    <w:rsid w:val="00C314C5"/>
    <w:rsid w:val="00C31FEB"/>
    <w:rsid w:val="00C33A4E"/>
    <w:rsid w:val="00C33B2D"/>
    <w:rsid w:val="00C341D9"/>
    <w:rsid w:val="00C34547"/>
    <w:rsid w:val="00C34847"/>
    <w:rsid w:val="00C3532B"/>
    <w:rsid w:val="00C3539E"/>
    <w:rsid w:val="00C364B0"/>
    <w:rsid w:val="00C36FF2"/>
    <w:rsid w:val="00C372FE"/>
    <w:rsid w:val="00C37895"/>
    <w:rsid w:val="00C407EA"/>
    <w:rsid w:val="00C41480"/>
    <w:rsid w:val="00C41BE9"/>
    <w:rsid w:val="00C41D9E"/>
    <w:rsid w:val="00C428D9"/>
    <w:rsid w:val="00C42A01"/>
    <w:rsid w:val="00C43073"/>
    <w:rsid w:val="00C445E4"/>
    <w:rsid w:val="00C448F0"/>
    <w:rsid w:val="00C45CD5"/>
    <w:rsid w:val="00C46E55"/>
    <w:rsid w:val="00C471B5"/>
    <w:rsid w:val="00C47A79"/>
    <w:rsid w:val="00C518E4"/>
    <w:rsid w:val="00C51E41"/>
    <w:rsid w:val="00C523E0"/>
    <w:rsid w:val="00C52ECF"/>
    <w:rsid w:val="00C541DE"/>
    <w:rsid w:val="00C54353"/>
    <w:rsid w:val="00C54A1E"/>
    <w:rsid w:val="00C54A7A"/>
    <w:rsid w:val="00C54D2F"/>
    <w:rsid w:val="00C54E6B"/>
    <w:rsid w:val="00C5546E"/>
    <w:rsid w:val="00C55E9D"/>
    <w:rsid w:val="00C56282"/>
    <w:rsid w:val="00C604C9"/>
    <w:rsid w:val="00C6063F"/>
    <w:rsid w:val="00C60B7D"/>
    <w:rsid w:val="00C6507B"/>
    <w:rsid w:val="00C661AD"/>
    <w:rsid w:val="00C66DB1"/>
    <w:rsid w:val="00C67F37"/>
    <w:rsid w:val="00C67FD4"/>
    <w:rsid w:val="00C701F0"/>
    <w:rsid w:val="00C72F45"/>
    <w:rsid w:val="00C731A1"/>
    <w:rsid w:val="00C737F2"/>
    <w:rsid w:val="00C73D36"/>
    <w:rsid w:val="00C76F43"/>
    <w:rsid w:val="00C81849"/>
    <w:rsid w:val="00C830B0"/>
    <w:rsid w:val="00C84042"/>
    <w:rsid w:val="00C84A04"/>
    <w:rsid w:val="00C85471"/>
    <w:rsid w:val="00C8636C"/>
    <w:rsid w:val="00C91DEF"/>
    <w:rsid w:val="00C91FAC"/>
    <w:rsid w:val="00C92466"/>
    <w:rsid w:val="00C92B9A"/>
    <w:rsid w:val="00C92BC1"/>
    <w:rsid w:val="00C9326E"/>
    <w:rsid w:val="00C940A9"/>
    <w:rsid w:val="00C95272"/>
    <w:rsid w:val="00C9604B"/>
    <w:rsid w:val="00C9762C"/>
    <w:rsid w:val="00CA32B3"/>
    <w:rsid w:val="00CA3B7D"/>
    <w:rsid w:val="00CA44EE"/>
    <w:rsid w:val="00CA485F"/>
    <w:rsid w:val="00CA5728"/>
    <w:rsid w:val="00CA57BB"/>
    <w:rsid w:val="00CA5EBD"/>
    <w:rsid w:val="00CA64B3"/>
    <w:rsid w:val="00CA693C"/>
    <w:rsid w:val="00CA78F0"/>
    <w:rsid w:val="00CB0B4A"/>
    <w:rsid w:val="00CB1257"/>
    <w:rsid w:val="00CB2362"/>
    <w:rsid w:val="00CB2814"/>
    <w:rsid w:val="00CB35D1"/>
    <w:rsid w:val="00CB3DEF"/>
    <w:rsid w:val="00CB41C9"/>
    <w:rsid w:val="00CB68D8"/>
    <w:rsid w:val="00CB772F"/>
    <w:rsid w:val="00CC1D87"/>
    <w:rsid w:val="00CC2B5D"/>
    <w:rsid w:val="00CC2C14"/>
    <w:rsid w:val="00CC3BD8"/>
    <w:rsid w:val="00CC41AC"/>
    <w:rsid w:val="00CC6E3B"/>
    <w:rsid w:val="00CC7D27"/>
    <w:rsid w:val="00CD01DF"/>
    <w:rsid w:val="00CD059D"/>
    <w:rsid w:val="00CD1BE0"/>
    <w:rsid w:val="00CD28F4"/>
    <w:rsid w:val="00CD2B27"/>
    <w:rsid w:val="00CD328C"/>
    <w:rsid w:val="00CD760D"/>
    <w:rsid w:val="00CE17E5"/>
    <w:rsid w:val="00CE30D5"/>
    <w:rsid w:val="00CE368E"/>
    <w:rsid w:val="00CE4794"/>
    <w:rsid w:val="00CE604D"/>
    <w:rsid w:val="00CE64D7"/>
    <w:rsid w:val="00CE66E5"/>
    <w:rsid w:val="00CE73D0"/>
    <w:rsid w:val="00CF10F8"/>
    <w:rsid w:val="00CF2E6F"/>
    <w:rsid w:val="00CF3CBB"/>
    <w:rsid w:val="00CF3F12"/>
    <w:rsid w:val="00CF4184"/>
    <w:rsid w:val="00CF4A0D"/>
    <w:rsid w:val="00CF4D85"/>
    <w:rsid w:val="00CF633D"/>
    <w:rsid w:val="00CF7294"/>
    <w:rsid w:val="00D005D9"/>
    <w:rsid w:val="00D015EF"/>
    <w:rsid w:val="00D0181E"/>
    <w:rsid w:val="00D01A15"/>
    <w:rsid w:val="00D01AB7"/>
    <w:rsid w:val="00D01B45"/>
    <w:rsid w:val="00D02B47"/>
    <w:rsid w:val="00D02B8D"/>
    <w:rsid w:val="00D02DB2"/>
    <w:rsid w:val="00D02F86"/>
    <w:rsid w:val="00D039E8"/>
    <w:rsid w:val="00D03BFD"/>
    <w:rsid w:val="00D03E1B"/>
    <w:rsid w:val="00D04AB6"/>
    <w:rsid w:val="00D0519E"/>
    <w:rsid w:val="00D05793"/>
    <w:rsid w:val="00D05D96"/>
    <w:rsid w:val="00D06534"/>
    <w:rsid w:val="00D0783A"/>
    <w:rsid w:val="00D07C1F"/>
    <w:rsid w:val="00D07E9B"/>
    <w:rsid w:val="00D11285"/>
    <w:rsid w:val="00D116A3"/>
    <w:rsid w:val="00D126ED"/>
    <w:rsid w:val="00D12BC8"/>
    <w:rsid w:val="00D13065"/>
    <w:rsid w:val="00D1361E"/>
    <w:rsid w:val="00D138D3"/>
    <w:rsid w:val="00D165FA"/>
    <w:rsid w:val="00D165FD"/>
    <w:rsid w:val="00D16916"/>
    <w:rsid w:val="00D16E12"/>
    <w:rsid w:val="00D16E2B"/>
    <w:rsid w:val="00D172B5"/>
    <w:rsid w:val="00D2023C"/>
    <w:rsid w:val="00D21D25"/>
    <w:rsid w:val="00D223C2"/>
    <w:rsid w:val="00D228DC"/>
    <w:rsid w:val="00D22FBF"/>
    <w:rsid w:val="00D233D0"/>
    <w:rsid w:val="00D2353A"/>
    <w:rsid w:val="00D253C0"/>
    <w:rsid w:val="00D2570E"/>
    <w:rsid w:val="00D25C87"/>
    <w:rsid w:val="00D25C99"/>
    <w:rsid w:val="00D264ED"/>
    <w:rsid w:val="00D26DAD"/>
    <w:rsid w:val="00D26EEE"/>
    <w:rsid w:val="00D27594"/>
    <w:rsid w:val="00D27DCD"/>
    <w:rsid w:val="00D30183"/>
    <w:rsid w:val="00D3203A"/>
    <w:rsid w:val="00D3281A"/>
    <w:rsid w:val="00D33043"/>
    <w:rsid w:val="00D33966"/>
    <w:rsid w:val="00D3423A"/>
    <w:rsid w:val="00D3423E"/>
    <w:rsid w:val="00D34798"/>
    <w:rsid w:val="00D3569E"/>
    <w:rsid w:val="00D36C8F"/>
    <w:rsid w:val="00D36FB0"/>
    <w:rsid w:val="00D37321"/>
    <w:rsid w:val="00D3795A"/>
    <w:rsid w:val="00D37B62"/>
    <w:rsid w:val="00D37DCE"/>
    <w:rsid w:val="00D428E6"/>
    <w:rsid w:val="00D43AEA"/>
    <w:rsid w:val="00D44758"/>
    <w:rsid w:val="00D44FCD"/>
    <w:rsid w:val="00D4500F"/>
    <w:rsid w:val="00D45281"/>
    <w:rsid w:val="00D458A7"/>
    <w:rsid w:val="00D45E7D"/>
    <w:rsid w:val="00D5062C"/>
    <w:rsid w:val="00D51087"/>
    <w:rsid w:val="00D518B2"/>
    <w:rsid w:val="00D526B3"/>
    <w:rsid w:val="00D52C95"/>
    <w:rsid w:val="00D52D4D"/>
    <w:rsid w:val="00D52E6D"/>
    <w:rsid w:val="00D534DD"/>
    <w:rsid w:val="00D54750"/>
    <w:rsid w:val="00D54D1C"/>
    <w:rsid w:val="00D54E64"/>
    <w:rsid w:val="00D57A0A"/>
    <w:rsid w:val="00D623C9"/>
    <w:rsid w:val="00D628AF"/>
    <w:rsid w:val="00D6361E"/>
    <w:rsid w:val="00D646D1"/>
    <w:rsid w:val="00D66F73"/>
    <w:rsid w:val="00D70658"/>
    <w:rsid w:val="00D70F22"/>
    <w:rsid w:val="00D71D25"/>
    <w:rsid w:val="00D73301"/>
    <w:rsid w:val="00D73A28"/>
    <w:rsid w:val="00D75ED7"/>
    <w:rsid w:val="00D765FA"/>
    <w:rsid w:val="00D76779"/>
    <w:rsid w:val="00D7696A"/>
    <w:rsid w:val="00D7703D"/>
    <w:rsid w:val="00D771F6"/>
    <w:rsid w:val="00D80A5E"/>
    <w:rsid w:val="00D80D9F"/>
    <w:rsid w:val="00D81037"/>
    <w:rsid w:val="00D8130C"/>
    <w:rsid w:val="00D81C50"/>
    <w:rsid w:val="00D81D44"/>
    <w:rsid w:val="00D82316"/>
    <w:rsid w:val="00D82996"/>
    <w:rsid w:val="00D82A05"/>
    <w:rsid w:val="00D836C9"/>
    <w:rsid w:val="00D83906"/>
    <w:rsid w:val="00D90D53"/>
    <w:rsid w:val="00D92471"/>
    <w:rsid w:val="00D92D5F"/>
    <w:rsid w:val="00D93974"/>
    <w:rsid w:val="00D977F5"/>
    <w:rsid w:val="00D97885"/>
    <w:rsid w:val="00DA18E8"/>
    <w:rsid w:val="00DA1986"/>
    <w:rsid w:val="00DA199D"/>
    <w:rsid w:val="00DA1A81"/>
    <w:rsid w:val="00DA220C"/>
    <w:rsid w:val="00DA394A"/>
    <w:rsid w:val="00DA54FA"/>
    <w:rsid w:val="00DA5AA5"/>
    <w:rsid w:val="00DA5DDA"/>
    <w:rsid w:val="00DA6CBD"/>
    <w:rsid w:val="00DB10A7"/>
    <w:rsid w:val="00DB189B"/>
    <w:rsid w:val="00DB2AD6"/>
    <w:rsid w:val="00DB5F09"/>
    <w:rsid w:val="00DB7C9A"/>
    <w:rsid w:val="00DC06FC"/>
    <w:rsid w:val="00DC1B5C"/>
    <w:rsid w:val="00DC1CC0"/>
    <w:rsid w:val="00DC2191"/>
    <w:rsid w:val="00DC2270"/>
    <w:rsid w:val="00DC2353"/>
    <w:rsid w:val="00DC5D19"/>
    <w:rsid w:val="00DC7287"/>
    <w:rsid w:val="00DC7566"/>
    <w:rsid w:val="00DC78AD"/>
    <w:rsid w:val="00DC7F3B"/>
    <w:rsid w:val="00DD00CE"/>
    <w:rsid w:val="00DD0477"/>
    <w:rsid w:val="00DD069D"/>
    <w:rsid w:val="00DD1400"/>
    <w:rsid w:val="00DD2760"/>
    <w:rsid w:val="00DE038F"/>
    <w:rsid w:val="00DE0393"/>
    <w:rsid w:val="00DE08B6"/>
    <w:rsid w:val="00DE1999"/>
    <w:rsid w:val="00DE2A2C"/>
    <w:rsid w:val="00DE3626"/>
    <w:rsid w:val="00DE430F"/>
    <w:rsid w:val="00DE6B34"/>
    <w:rsid w:val="00DF0066"/>
    <w:rsid w:val="00DF03C6"/>
    <w:rsid w:val="00DF09D5"/>
    <w:rsid w:val="00DF0CEE"/>
    <w:rsid w:val="00DF1BDA"/>
    <w:rsid w:val="00DF1EA7"/>
    <w:rsid w:val="00DF284B"/>
    <w:rsid w:val="00DF2A4B"/>
    <w:rsid w:val="00DF39FF"/>
    <w:rsid w:val="00DF3FB4"/>
    <w:rsid w:val="00DF463A"/>
    <w:rsid w:val="00DF5373"/>
    <w:rsid w:val="00DF599C"/>
    <w:rsid w:val="00E00422"/>
    <w:rsid w:val="00E0064E"/>
    <w:rsid w:val="00E01EB3"/>
    <w:rsid w:val="00E02788"/>
    <w:rsid w:val="00E02EA3"/>
    <w:rsid w:val="00E038ED"/>
    <w:rsid w:val="00E041EC"/>
    <w:rsid w:val="00E0461E"/>
    <w:rsid w:val="00E04C53"/>
    <w:rsid w:val="00E04EFB"/>
    <w:rsid w:val="00E06D43"/>
    <w:rsid w:val="00E1066C"/>
    <w:rsid w:val="00E10746"/>
    <w:rsid w:val="00E12591"/>
    <w:rsid w:val="00E12EED"/>
    <w:rsid w:val="00E12FF3"/>
    <w:rsid w:val="00E13C54"/>
    <w:rsid w:val="00E14877"/>
    <w:rsid w:val="00E14F66"/>
    <w:rsid w:val="00E16385"/>
    <w:rsid w:val="00E20F10"/>
    <w:rsid w:val="00E212F7"/>
    <w:rsid w:val="00E21BFC"/>
    <w:rsid w:val="00E22E87"/>
    <w:rsid w:val="00E2305E"/>
    <w:rsid w:val="00E2330F"/>
    <w:rsid w:val="00E2359B"/>
    <w:rsid w:val="00E252D2"/>
    <w:rsid w:val="00E252E5"/>
    <w:rsid w:val="00E269CF"/>
    <w:rsid w:val="00E2768D"/>
    <w:rsid w:val="00E27847"/>
    <w:rsid w:val="00E30E8A"/>
    <w:rsid w:val="00E32532"/>
    <w:rsid w:val="00E327F6"/>
    <w:rsid w:val="00E33C45"/>
    <w:rsid w:val="00E34638"/>
    <w:rsid w:val="00E3576A"/>
    <w:rsid w:val="00E37B38"/>
    <w:rsid w:val="00E43321"/>
    <w:rsid w:val="00E440F2"/>
    <w:rsid w:val="00E45AD2"/>
    <w:rsid w:val="00E47457"/>
    <w:rsid w:val="00E47C52"/>
    <w:rsid w:val="00E5107C"/>
    <w:rsid w:val="00E510E6"/>
    <w:rsid w:val="00E53126"/>
    <w:rsid w:val="00E56C2F"/>
    <w:rsid w:val="00E57163"/>
    <w:rsid w:val="00E57479"/>
    <w:rsid w:val="00E57495"/>
    <w:rsid w:val="00E57B99"/>
    <w:rsid w:val="00E606A6"/>
    <w:rsid w:val="00E60848"/>
    <w:rsid w:val="00E615FB"/>
    <w:rsid w:val="00E63B37"/>
    <w:rsid w:val="00E63BE4"/>
    <w:rsid w:val="00E63F1F"/>
    <w:rsid w:val="00E667FB"/>
    <w:rsid w:val="00E677E0"/>
    <w:rsid w:val="00E67DD5"/>
    <w:rsid w:val="00E700EB"/>
    <w:rsid w:val="00E70182"/>
    <w:rsid w:val="00E70485"/>
    <w:rsid w:val="00E70B00"/>
    <w:rsid w:val="00E70B2F"/>
    <w:rsid w:val="00E70B3B"/>
    <w:rsid w:val="00E71925"/>
    <w:rsid w:val="00E71E27"/>
    <w:rsid w:val="00E74030"/>
    <w:rsid w:val="00E755E4"/>
    <w:rsid w:val="00E75DFA"/>
    <w:rsid w:val="00E7655D"/>
    <w:rsid w:val="00E769CB"/>
    <w:rsid w:val="00E76DE0"/>
    <w:rsid w:val="00E81527"/>
    <w:rsid w:val="00E819D2"/>
    <w:rsid w:val="00E82544"/>
    <w:rsid w:val="00E82E34"/>
    <w:rsid w:val="00E842F3"/>
    <w:rsid w:val="00E847F1"/>
    <w:rsid w:val="00E84D2D"/>
    <w:rsid w:val="00E85BEA"/>
    <w:rsid w:val="00E8729C"/>
    <w:rsid w:val="00E8746F"/>
    <w:rsid w:val="00E87A9E"/>
    <w:rsid w:val="00E87DBE"/>
    <w:rsid w:val="00E90462"/>
    <w:rsid w:val="00E90F01"/>
    <w:rsid w:val="00E92619"/>
    <w:rsid w:val="00E9363C"/>
    <w:rsid w:val="00E95CA4"/>
    <w:rsid w:val="00E9604D"/>
    <w:rsid w:val="00E96B57"/>
    <w:rsid w:val="00E96B5A"/>
    <w:rsid w:val="00E97346"/>
    <w:rsid w:val="00E97709"/>
    <w:rsid w:val="00E97B8D"/>
    <w:rsid w:val="00E97DD0"/>
    <w:rsid w:val="00EA04BF"/>
    <w:rsid w:val="00EA17D5"/>
    <w:rsid w:val="00EA19B5"/>
    <w:rsid w:val="00EA231A"/>
    <w:rsid w:val="00EA2A3C"/>
    <w:rsid w:val="00EA2B58"/>
    <w:rsid w:val="00EA4B1E"/>
    <w:rsid w:val="00EA4D86"/>
    <w:rsid w:val="00EA6621"/>
    <w:rsid w:val="00EA7389"/>
    <w:rsid w:val="00EA7DCA"/>
    <w:rsid w:val="00EB04DF"/>
    <w:rsid w:val="00EB1B84"/>
    <w:rsid w:val="00EB2BA1"/>
    <w:rsid w:val="00EB3C80"/>
    <w:rsid w:val="00EB3E7E"/>
    <w:rsid w:val="00EB5E86"/>
    <w:rsid w:val="00EB6441"/>
    <w:rsid w:val="00EB6752"/>
    <w:rsid w:val="00EB67E5"/>
    <w:rsid w:val="00EC011B"/>
    <w:rsid w:val="00EC04C5"/>
    <w:rsid w:val="00EC251F"/>
    <w:rsid w:val="00EC470D"/>
    <w:rsid w:val="00EC5C6B"/>
    <w:rsid w:val="00EC5D5D"/>
    <w:rsid w:val="00EC712B"/>
    <w:rsid w:val="00ED230E"/>
    <w:rsid w:val="00ED23D7"/>
    <w:rsid w:val="00ED2BA7"/>
    <w:rsid w:val="00ED3195"/>
    <w:rsid w:val="00ED3A4F"/>
    <w:rsid w:val="00ED3F5E"/>
    <w:rsid w:val="00ED60D4"/>
    <w:rsid w:val="00ED7148"/>
    <w:rsid w:val="00ED7A19"/>
    <w:rsid w:val="00ED7B2B"/>
    <w:rsid w:val="00EE1DAA"/>
    <w:rsid w:val="00EE2CFD"/>
    <w:rsid w:val="00EE4756"/>
    <w:rsid w:val="00EE4891"/>
    <w:rsid w:val="00EE504F"/>
    <w:rsid w:val="00EE5B63"/>
    <w:rsid w:val="00EE5F04"/>
    <w:rsid w:val="00EE6C15"/>
    <w:rsid w:val="00EF07B8"/>
    <w:rsid w:val="00EF0FCC"/>
    <w:rsid w:val="00EF1C1F"/>
    <w:rsid w:val="00EF2D9C"/>
    <w:rsid w:val="00EF483B"/>
    <w:rsid w:val="00EF506E"/>
    <w:rsid w:val="00EF5738"/>
    <w:rsid w:val="00EF5EDC"/>
    <w:rsid w:val="00EF644C"/>
    <w:rsid w:val="00EF6D82"/>
    <w:rsid w:val="00EF73EB"/>
    <w:rsid w:val="00F0028D"/>
    <w:rsid w:val="00F01B6E"/>
    <w:rsid w:val="00F02044"/>
    <w:rsid w:val="00F02B0A"/>
    <w:rsid w:val="00F0346B"/>
    <w:rsid w:val="00F04171"/>
    <w:rsid w:val="00F059FF"/>
    <w:rsid w:val="00F0679B"/>
    <w:rsid w:val="00F06B3F"/>
    <w:rsid w:val="00F07240"/>
    <w:rsid w:val="00F07645"/>
    <w:rsid w:val="00F077BD"/>
    <w:rsid w:val="00F079D7"/>
    <w:rsid w:val="00F1026E"/>
    <w:rsid w:val="00F129C4"/>
    <w:rsid w:val="00F15068"/>
    <w:rsid w:val="00F15CF2"/>
    <w:rsid w:val="00F16525"/>
    <w:rsid w:val="00F17369"/>
    <w:rsid w:val="00F174E2"/>
    <w:rsid w:val="00F20073"/>
    <w:rsid w:val="00F22FFA"/>
    <w:rsid w:val="00F232FE"/>
    <w:rsid w:val="00F259E0"/>
    <w:rsid w:val="00F25EBF"/>
    <w:rsid w:val="00F25FBC"/>
    <w:rsid w:val="00F30967"/>
    <w:rsid w:val="00F309E6"/>
    <w:rsid w:val="00F31087"/>
    <w:rsid w:val="00F32D58"/>
    <w:rsid w:val="00F32EC4"/>
    <w:rsid w:val="00F34849"/>
    <w:rsid w:val="00F34FFE"/>
    <w:rsid w:val="00F36184"/>
    <w:rsid w:val="00F36261"/>
    <w:rsid w:val="00F36459"/>
    <w:rsid w:val="00F40130"/>
    <w:rsid w:val="00F40A64"/>
    <w:rsid w:val="00F44910"/>
    <w:rsid w:val="00F44B35"/>
    <w:rsid w:val="00F44CBC"/>
    <w:rsid w:val="00F45A58"/>
    <w:rsid w:val="00F47BD3"/>
    <w:rsid w:val="00F5058E"/>
    <w:rsid w:val="00F50AB3"/>
    <w:rsid w:val="00F5165A"/>
    <w:rsid w:val="00F538C5"/>
    <w:rsid w:val="00F54A64"/>
    <w:rsid w:val="00F55D58"/>
    <w:rsid w:val="00F568D2"/>
    <w:rsid w:val="00F5762B"/>
    <w:rsid w:val="00F60C7F"/>
    <w:rsid w:val="00F617E0"/>
    <w:rsid w:val="00F61AD9"/>
    <w:rsid w:val="00F624E9"/>
    <w:rsid w:val="00F6296C"/>
    <w:rsid w:val="00F62A84"/>
    <w:rsid w:val="00F62BB4"/>
    <w:rsid w:val="00F65D49"/>
    <w:rsid w:val="00F669C0"/>
    <w:rsid w:val="00F675C7"/>
    <w:rsid w:val="00F733F1"/>
    <w:rsid w:val="00F73CBE"/>
    <w:rsid w:val="00F754CE"/>
    <w:rsid w:val="00F75AC0"/>
    <w:rsid w:val="00F75FAA"/>
    <w:rsid w:val="00F76E18"/>
    <w:rsid w:val="00F8052F"/>
    <w:rsid w:val="00F80E1E"/>
    <w:rsid w:val="00F818C2"/>
    <w:rsid w:val="00F81D0B"/>
    <w:rsid w:val="00F82104"/>
    <w:rsid w:val="00F82B7B"/>
    <w:rsid w:val="00F833DC"/>
    <w:rsid w:val="00F8629F"/>
    <w:rsid w:val="00F86869"/>
    <w:rsid w:val="00F86B7F"/>
    <w:rsid w:val="00F875FB"/>
    <w:rsid w:val="00F87F80"/>
    <w:rsid w:val="00F90D4B"/>
    <w:rsid w:val="00F91D05"/>
    <w:rsid w:val="00F91F61"/>
    <w:rsid w:val="00F9250C"/>
    <w:rsid w:val="00F9457C"/>
    <w:rsid w:val="00F95023"/>
    <w:rsid w:val="00F957CC"/>
    <w:rsid w:val="00F95A7B"/>
    <w:rsid w:val="00F96740"/>
    <w:rsid w:val="00F96885"/>
    <w:rsid w:val="00F96D81"/>
    <w:rsid w:val="00F975A0"/>
    <w:rsid w:val="00F97725"/>
    <w:rsid w:val="00FA1717"/>
    <w:rsid w:val="00FA1BE3"/>
    <w:rsid w:val="00FA460C"/>
    <w:rsid w:val="00FA63D6"/>
    <w:rsid w:val="00FB06C4"/>
    <w:rsid w:val="00FB07A6"/>
    <w:rsid w:val="00FB0E6B"/>
    <w:rsid w:val="00FB0F23"/>
    <w:rsid w:val="00FB22F9"/>
    <w:rsid w:val="00FB3619"/>
    <w:rsid w:val="00FB4074"/>
    <w:rsid w:val="00FB5A88"/>
    <w:rsid w:val="00FB641B"/>
    <w:rsid w:val="00FB75D4"/>
    <w:rsid w:val="00FB79E6"/>
    <w:rsid w:val="00FC00B5"/>
    <w:rsid w:val="00FC197C"/>
    <w:rsid w:val="00FC27CE"/>
    <w:rsid w:val="00FC2C0D"/>
    <w:rsid w:val="00FC2E21"/>
    <w:rsid w:val="00FC4941"/>
    <w:rsid w:val="00FC6099"/>
    <w:rsid w:val="00FC639D"/>
    <w:rsid w:val="00FC66B4"/>
    <w:rsid w:val="00FC760C"/>
    <w:rsid w:val="00FC79C9"/>
    <w:rsid w:val="00FC7F4A"/>
    <w:rsid w:val="00FD0438"/>
    <w:rsid w:val="00FD087D"/>
    <w:rsid w:val="00FD0F42"/>
    <w:rsid w:val="00FD1A3F"/>
    <w:rsid w:val="00FD275E"/>
    <w:rsid w:val="00FD2A10"/>
    <w:rsid w:val="00FD3AFB"/>
    <w:rsid w:val="00FD52C7"/>
    <w:rsid w:val="00FD5860"/>
    <w:rsid w:val="00FD5EBF"/>
    <w:rsid w:val="00FD6FC2"/>
    <w:rsid w:val="00FE2868"/>
    <w:rsid w:val="00FE2DF4"/>
    <w:rsid w:val="00FE36E3"/>
    <w:rsid w:val="00FE3AE1"/>
    <w:rsid w:val="00FE4C54"/>
    <w:rsid w:val="00FE4E33"/>
    <w:rsid w:val="00FE51DC"/>
    <w:rsid w:val="00FF0760"/>
    <w:rsid w:val="00FF1FCC"/>
    <w:rsid w:val="00FF2095"/>
    <w:rsid w:val="00FF2EED"/>
    <w:rsid w:val="00FF31E1"/>
    <w:rsid w:val="00FF331D"/>
    <w:rsid w:val="00FF3947"/>
    <w:rsid w:val="00FF3B10"/>
    <w:rsid w:val="00FF3C19"/>
    <w:rsid w:val="00FF666F"/>
    <w:rsid w:val="00FF6B02"/>
    <w:rsid w:val="00FF6E3B"/>
    <w:rsid w:val="00FF70B0"/>
    <w:rsid w:val="00FF7D9E"/>
    <w:rsid w:val="010712BA"/>
    <w:rsid w:val="019B2499"/>
    <w:rsid w:val="01C97204"/>
    <w:rsid w:val="01DF0A18"/>
    <w:rsid w:val="02043FA5"/>
    <w:rsid w:val="022C0140"/>
    <w:rsid w:val="02B12149"/>
    <w:rsid w:val="033651FE"/>
    <w:rsid w:val="03F019D0"/>
    <w:rsid w:val="042A63D1"/>
    <w:rsid w:val="04D93857"/>
    <w:rsid w:val="04E8059F"/>
    <w:rsid w:val="054730EC"/>
    <w:rsid w:val="054A1E9D"/>
    <w:rsid w:val="05BD2F83"/>
    <w:rsid w:val="063F5EF2"/>
    <w:rsid w:val="06684D9A"/>
    <w:rsid w:val="06967A9E"/>
    <w:rsid w:val="0782768E"/>
    <w:rsid w:val="07983428"/>
    <w:rsid w:val="081828F4"/>
    <w:rsid w:val="08751A3B"/>
    <w:rsid w:val="08C76056"/>
    <w:rsid w:val="08E87B1A"/>
    <w:rsid w:val="08EB7267"/>
    <w:rsid w:val="090F5685"/>
    <w:rsid w:val="091405A9"/>
    <w:rsid w:val="09353655"/>
    <w:rsid w:val="093F0E0B"/>
    <w:rsid w:val="09957275"/>
    <w:rsid w:val="0A406997"/>
    <w:rsid w:val="0A756C7B"/>
    <w:rsid w:val="0A94499B"/>
    <w:rsid w:val="0A9B7668"/>
    <w:rsid w:val="0B185EBE"/>
    <w:rsid w:val="0B2E5C8F"/>
    <w:rsid w:val="0B680C63"/>
    <w:rsid w:val="0B917DE9"/>
    <w:rsid w:val="0C645A23"/>
    <w:rsid w:val="0C711935"/>
    <w:rsid w:val="0C9B4C9E"/>
    <w:rsid w:val="0CA55C99"/>
    <w:rsid w:val="0D0B59A1"/>
    <w:rsid w:val="0D0E39C5"/>
    <w:rsid w:val="0D42613B"/>
    <w:rsid w:val="0D4A2F91"/>
    <w:rsid w:val="0DB032E9"/>
    <w:rsid w:val="0DB35D0F"/>
    <w:rsid w:val="0DBB33C8"/>
    <w:rsid w:val="0DCD4337"/>
    <w:rsid w:val="0DD834C6"/>
    <w:rsid w:val="0E1C1EBE"/>
    <w:rsid w:val="0E2536C3"/>
    <w:rsid w:val="0E37042F"/>
    <w:rsid w:val="0E797771"/>
    <w:rsid w:val="0E837364"/>
    <w:rsid w:val="0EA975A9"/>
    <w:rsid w:val="0EAD374B"/>
    <w:rsid w:val="0F4041E6"/>
    <w:rsid w:val="0F7B625A"/>
    <w:rsid w:val="0F7F0837"/>
    <w:rsid w:val="0F875E26"/>
    <w:rsid w:val="0F94369F"/>
    <w:rsid w:val="0FAD2C30"/>
    <w:rsid w:val="0FCB60A0"/>
    <w:rsid w:val="0FCE00BF"/>
    <w:rsid w:val="10297BB8"/>
    <w:rsid w:val="1088120F"/>
    <w:rsid w:val="10C877FE"/>
    <w:rsid w:val="11260AA6"/>
    <w:rsid w:val="116E5FA5"/>
    <w:rsid w:val="119E04FA"/>
    <w:rsid w:val="11C3344A"/>
    <w:rsid w:val="11E343B9"/>
    <w:rsid w:val="125649EA"/>
    <w:rsid w:val="12816643"/>
    <w:rsid w:val="12FD436C"/>
    <w:rsid w:val="131F7589"/>
    <w:rsid w:val="13387F99"/>
    <w:rsid w:val="1397792D"/>
    <w:rsid w:val="13CE33E0"/>
    <w:rsid w:val="13E8217D"/>
    <w:rsid w:val="13FB1F9D"/>
    <w:rsid w:val="143F79AE"/>
    <w:rsid w:val="146B3117"/>
    <w:rsid w:val="147927C4"/>
    <w:rsid w:val="14AD6D9E"/>
    <w:rsid w:val="14F71518"/>
    <w:rsid w:val="14F76CBB"/>
    <w:rsid w:val="155E30C9"/>
    <w:rsid w:val="158E0D48"/>
    <w:rsid w:val="15D019C4"/>
    <w:rsid w:val="15FC3EA2"/>
    <w:rsid w:val="16834892"/>
    <w:rsid w:val="17156193"/>
    <w:rsid w:val="176B1535"/>
    <w:rsid w:val="179C6E1C"/>
    <w:rsid w:val="17C107D5"/>
    <w:rsid w:val="17D57945"/>
    <w:rsid w:val="17D950FB"/>
    <w:rsid w:val="1846690D"/>
    <w:rsid w:val="193270A0"/>
    <w:rsid w:val="19BC460F"/>
    <w:rsid w:val="19CC60A9"/>
    <w:rsid w:val="1A550A6F"/>
    <w:rsid w:val="1A7203FB"/>
    <w:rsid w:val="1A8427C0"/>
    <w:rsid w:val="1AF451E7"/>
    <w:rsid w:val="1B0E2351"/>
    <w:rsid w:val="1BC43BF3"/>
    <w:rsid w:val="1D2A0DE6"/>
    <w:rsid w:val="1D875AAA"/>
    <w:rsid w:val="1DC97904"/>
    <w:rsid w:val="1DE05A7F"/>
    <w:rsid w:val="1DFB31D0"/>
    <w:rsid w:val="1E417967"/>
    <w:rsid w:val="1E4D0173"/>
    <w:rsid w:val="1EA24B47"/>
    <w:rsid w:val="1EDF3542"/>
    <w:rsid w:val="1F284F0F"/>
    <w:rsid w:val="1F2B2452"/>
    <w:rsid w:val="1F9865D7"/>
    <w:rsid w:val="20270FAE"/>
    <w:rsid w:val="20FA0DE1"/>
    <w:rsid w:val="210364EA"/>
    <w:rsid w:val="21360BD3"/>
    <w:rsid w:val="21363F27"/>
    <w:rsid w:val="21962D28"/>
    <w:rsid w:val="219B1576"/>
    <w:rsid w:val="21BA11AA"/>
    <w:rsid w:val="22011A76"/>
    <w:rsid w:val="22184337"/>
    <w:rsid w:val="22622D04"/>
    <w:rsid w:val="226E1E89"/>
    <w:rsid w:val="22C82C62"/>
    <w:rsid w:val="22FE5C06"/>
    <w:rsid w:val="23123866"/>
    <w:rsid w:val="235E7D35"/>
    <w:rsid w:val="242701EA"/>
    <w:rsid w:val="24602744"/>
    <w:rsid w:val="24BF3486"/>
    <w:rsid w:val="258A19BD"/>
    <w:rsid w:val="25B47DBD"/>
    <w:rsid w:val="25D51315"/>
    <w:rsid w:val="26082E8F"/>
    <w:rsid w:val="26417588"/>
    <w:rsid w:val="26472C5B"/>
    <w:rsid w:val="268A2B5D"/>
    <w:rsid w:val="27067937"/>
    <w:rsid w:val="273B3883"/>
    <w:rsid w:val="27602351"/>
    <w:rsid w:val="27CB63A5"/>
    <w:rsid w:val="27DB55E2"/>
    <w:rsid w:val="27F56DDC"/>
    <w:rsid w:val="281B0895"/>
    <w:rsid w:val="2885583E"/>
    <w:rsid w:val="289A5D7D"/>
    <w:rsid w:val="293F1C30"/>
    <w:rsid w:val="297210DF"/>
    <w:rsid w:val="29AC017C"/>
    <w:rsid w:val="29CE0B24"/>
    <w:rsid w:val="29E775BA"/>
    <w:rsid w:val="2A190739"/>
    <w:rsid w:val="2A643B16"/>
    <w:rsid w:val="2A7C1921"/>
    <w:rsid w:val="2ABB1D74"/>
    <w:rsid w:val="2ACA2688"/>
    <w:rsid w:val="2AF248A9"/>
    <w:rsid w:val="2B022474"/>
    <w:rsid w:val="2B3250CD"/>
    <w:rsid w:val="2B3418D5"/>
    <w:rsid w:val="2B4D7B72"/>
    <w:rsid w:val="2B4F7152"/>
    <w:rsid w:val="2B6D7FF1"/>
    <w:rsid w:val="2BA56B9C"/>
    <w:rsid w:val="2BB30EFA"/>
    <w:rsid w:val="2C25676F"/>
    <w:rsid w:val="2C377044"/>
    <w:rsid w:val="2C946101"/>
    <w:rsid w:val="2CCB6B32"/>
    <w:rsid w:val="2CF129D5"/>
    <w:rsid w:val="2CF938AA"/>
    <w:rsid w:val="2DB1055A"/>
    <w:rsid w:val="2DD6676A"/>
    <w:rsid w:val="2E497583"/>
    <w:rsid w:val="2E995A2D"/>
    <w:rsid w:val="2EDF3EB0"/>
    <w:rsid w:val="2F2A66D4"/>
    <w:rsid w:val="2F804D8A"/>
    <w:rsid w:val="300F1C5A"/>
    <w:rsid w:val="304E3C9C"/>
    <w:rsid w:val="30746448"/>
    <w:rsid w:val="30AA440F"/>
    <w:rsid w:val="31584A7C"/>
    <w:rsid w:val="318C4FAC"/>
    <w:rsid w:val="31E65D68"/>
    <w:rsid w:val="31F74479"/>
    <w:rsid w:val="322C3908"/>
    <w:rsid w:val="322F57DE"/>
    <w:rsid w:val="32B70D10"/>
    <w:rsid w:val="33200781"/>
    <w:rsid w:val="333B368E"/>
    <w:rsid w:val="33D5432B"/>
    <w:rsid w:val="345501BD"/>
    <w:rsid w:val="345D757D"/>
    <w:rsid w:val="34DD3DE1"/>
    <w:rsid w:val="34F30733"/>
    <w:rsid w:val="34F96F2A"/>
    <w:rsid w:val="35107802"/>
    <w:rsid w:val="356B786D"/>
    <w:rsid w:val="35833607"/>
    <w:rsid w:val="358F57C4"/>
    <w:rsid w:val="35C70E03"/>
    <w:rsid w:val="363E7F70"/>
    <w:rsid w:val="36475D8C"/>
    <w:rsid w:val="36D97394"/>
    <w:rsid w:val="36E24EFC"/>
    <w:rsid w:val="37162E07"/>
    <w:rsid w:val="372A484F"/>
    <w:rsid w:val="37393C4D"/>
    <w:rsid w:val="375F6860"/>
    <w:rsid w:val="377B5CF2"/>
    <w:rsid w:val="37971319"/>
    <w:rsid w:val="38A67E9C"/>
    <w:rsid w:val="38C52407"/>
    <w:rsid w:val="38D4492E"/>
    <w:rsid w:val="38D7535D"/>
    <w:rsid w:val="39484F31"/>
    <w:rsid w:val="39755010"/>
    <w:rsid w:val="398362B1"/>
    <w:rsid w:val="39BA60AA"/>
    <w:rsid w:val="3A334650"/>
    <w:rsid w:val="3A516C40"/>
    <w:rsid w:val="3A720677"/>
    <w:rsid w:val="3A8B7460"/>
    <w:rsid w:val="3B4F0D16"/>
    <w:rsid w:val="3C240EA1"/>
    <w:rsid w:val="3C4F0B07"/>
    <w:rsid w:val="3CD97AC6"/>
    <w:rsid w:val="3DC0121E"/>
    <w:rsid w:val="3DCC7BFC"/>
    <w:rsid w:val="3DDF1CEB"/>
    <w:rsid w:val="3E766A9D"/>
    <w:rsid w:val="3E7F2A5C"/>
    <w:rsid w:val="3F0653CC"/>
    <w:rsid w:val="4006347E"/>
    <w:rsid w:val="401F0B03"/>
    <w:rsid w:val="4052609B"/>
    <w:rsid w:val="40D5546B"/>
    <w:rsid w:val="40F0695F"/>
    <w:rsid w:val="410D4F88"/>
    <w:rsid w:val="413744CC"/>
    <w:rsid w:val="41377F6E"/>
    <w:rsid w:val="41852E39"/>
    <w:rsid w:val="41C03FCE"/>
    <w:rsid w:val="428F4C62"/>
    <w:rsid w:val="42DA0666"/>
    <w:rsid w:val="43347D6C"/>
    <w:rsid w:val="436F0513"/>
    <w:rsid w:val="43965C7A"/>
    <w:rsid w:val="43BA4970"/>
    <w:rsid w:val="43EB6A14"/>
    <w:rsid w:val="43F43EF8"/>
    <w:rsid w:val="4409737A"/>
    <w:rsid w:val="44222514"/>
    <w:rsid w:val="44885A7D"/>
    <w:rsid w:val="44B61ECF"/>
    <w:rsid w:val="4500703E"/>
    <w:rsid w:val="454E56D8"/>
    <w:rsid w:val="45792F58"/>
    <w:rsid w:val="458A7B45"/>
    <w:rsid w:val="45DA2DF3"/>
    <w:rsid w:val="45DA7F79"/>
    <w:rsid w:val="463902AD"/>
    <w:rsid w:val="465C0527"/>
    <w:rsid w:val="466F0066"/>
    <w:rsid w:val="467C0864"/>
    <w:rsid w:val="46D52048"/>
    <w:rsid w:val="46D730EA"/>
    <w:rsid w:val="46EF52C9"/>
    <w:rsid w:val="47253AC1"/>
    <w:rsid w:val="477B2BE6"/>
    <w:rsid w:val="47804445"/>
    <w:rsid w:val="47971779"/>
    <w:rsid w:val="47A21A5E"/>
    <w:rsid w:val="47B041EB"/>
    <w:rsid w:val="47B77044"/>
    <w:rsid w:val="47CE7B29"/>
    <w:rsid w:val="47F35E39"/>
    <w:rsid w:val="48133FE9"/>
    <w:rsid w:val="485978F1"/>
    <w:rsid w:val="48984629"/>
    <w:rsid w:val="490971DB"/>
    <w:rsid w:val="492F3BD4"/>
    <w:rsid w:val="496907BB"/>
    <w:rsid w:val="49DF6224"/>
    <w:rsid w:val="49F90578"/>
    <w:rsid w:val="4A1D163A"/>
    <w:rsid w:val="4A4F2044"/>
    <w:rsid w:val="4AA468ED"/>
    <w:rsid w:val="4AA73A71"/>
    <w:rsid w:val="4B1216AC"/>
    <w:rsid w:val="4B1F304A"/>
    <w:rsid w:val="4B9235B6"/>
    <w:rsid w:val="4B9A60BE"/>
    <w:rsid w:val="4BBC7F30"/>
    <w:rsid w:val="4C3B0351"/>
    <w:rsid w:val="4CE75445"/>
    <w:rsid w:val="4D075368"/>
    <w:rsid w:val="4D9C1A9B"/>
    <w:rsid w:val="4E9D5A0E"/>
    <w:rsid w:val="4EF800E1"/>
    <w:rsid w:val="4F587827"/>
    <w:rsid w:val="4FB80CCB"/>
    <w:rsid w:val="4FE4265E"/>
    <w:rsid w:val="5002080E"/>
    <w:rsid w:val="500B4E80"/>
    <w:rsid w:val="506D64FB"/>
    <w:rsid w:val="506F17F4"/>
    <w:rsid w:val="50906D28"/>
    <w:rsid w:val="50934A5E"/>
    <w:rsid w:val="50EB2D90"/>
    <w:rsid w:val="50F22289"/>
    <w:rsid w:val="50F279CE"/>
    <w:rsid w:val="510E73B0"/>
    <w:rsid w:val="516979A6"/>
    <w:rsid w:val="516B1651"/>
    <w:rsid w:val="51A03660"/>
    <w:rsid w:val="51AE4846"/>
    <w:rsid w:val="52587C07"/>
    <w:rsid w:val="529E551E"/>
    <w:rsid w:val="52D92BC3"/>
    <w:rsid w:val="534618ED"/>
    <w:rsid w:val="535B6481"/>
    <w:rsid w:val="53634220"/>
    <w:rsid w:val="537A0903"/>
    <w:rsid w:val="53E749DF"/>
    <w:rsid w:val="54856E4F"/>
    <w:rsid w:val="559A4CC8"/>
    <w:rsid w:val="55B405A7"/>
    <w:rsid w:val="573131D8"/>
    <w:rsid w:val="57335062"/>
    <w:rsid w:val="57700553"/>
    <w:rsid w:val="582463EF"/>
    <w:rsid w:val="5848388E"/>
    <w:rsid w:val="58902987"/>
    <w:rsid w:val="58AE5CA4"/>
    <w:rsid w:val="593E6B6D"/>
    <w:rsid w:val="59885E8B"/>
    <w:rsid w:val="59DB2A7B"/>
    <w:rsid w:val="5A131284"/>
    <w:rsid w:val="5AED33B0"/>
    <w:rsid w:val="5AFC496D"/>
    <w:rsid w:val="5B38029A"/>
    <w:rsid w:val="5B5B53AD"/>
    <w:rsid w:val="5B8764B3"/>
    <w:rsid w:val="5B902F4E"/>
    <w:rsid w:val="5BA975C3"/>
    <w:rsid w:val="5BD13177"/>
    <w:rsid w:val="5BD8341D"/>
    <w:rsid w:val="5C003483"/>
    <w:rsid w:val="5C4B79D9"/>
    <w:rsid w:val="5C7B609E"/>
    <w:rsid w:val="5CC158D0"/>
    <w:rsid w:val="5D0349ED"/>
    <w:rsid w:val="5D0A21B8"/>
    <w:rsid w:val="5D763586"/>
    <w:rsid w:val="5DF216A6"/>
    <w:rsid w:val="5E740EA2"/>
    <w:rsid w:val="5F0F7504"/>
    <w:rsid w:val="5F125AAB"/>
    <w:rsid w:val="5F256770"/>
    <w:rsid w:val="5F6D1A03"/>
    <w:rsid w:val="600D06C0"/>
    <w:rsid w:val="60116CF1"/>
    <w:rsid w:val="60260EEE"/>
    <w:rsid w:val="60417C26"/>
    <w:rsid w:val="606E202A"/>
    <w:rsid w:val="61084A1A"/>
    <w:rsid w:val="611413C0"/>
    <w:rsid w:val="61414049"/>
    <w:rsid w:val="61490C54"/>
    <w:rsid w:val="624F705B"/>
    <w:rsid w:val="626620B9"/>
    <w:rsid w:val="628D483F"/>
    <w:rsid w:val="63857680"/>
    <w:rsid w:val="63D23B33"/>
    <w:rsid w:val="63D52D29"/>
    <w:rsid w:val="63FF65AE"/>
    <w:rsid w:val="64841366"/>
    <w:rsid w:val="65383129"/>
    <w:rsid w:val="65DF2C20"/>
    <w:rsid w:val="65E92804"/>
    <w:rsid w:val="65FB4D57"/>
    <w:rsid w:val="66033759"/>
    <w:rsid w:val="66057DD4"/>
    <w:rsid w:val="661A0A5C"/>
    <w:rsid w:val="66331FE6"/>
    <w:rsid w:val="66945EB7"/>
    <w:rsid w:val="66F863CF"/>
    <w:rsid w:val="67027893"/>
    <w:rsid w:val="67997EBA"/>
    <w:rsid w:val="67BF159E"/>
    <w:rsid w:val="67D461DD"/>
    <w:rsid w:val="67E672D1"/>
    <w:rsid w:val="680702A6"/>
    <w:rsid w:val="6816388D"/>
    <w:rsid w:val="6817430C"/>
    <w:rsid w:val="682248FE"/>
    <w:rsid w:val="686011AF"/>
    <w:rsid w:val="688D0BDE"/>
    <w:rsid w:val="68997312"/>
    <w:rsid w:val="68A40724"/>
    <w:rsid w:val="68F17A75"/>
    <w:rsid w:val="69337847"/>
    <w:rsid w:val="695256A4"/>
    <w:rsid w:val="698C60A7"/>
    <w:rsid w:val="69F45A82"/>
    <w:rsid w:val="6AF03E1F"/>
    <w:rsid w:val="6BB45E25"/>
    <w:rsid w:val="6C157F58"/>
    <w:rsid w:val="6D1B687E"/>
    <w:rsid w:val="6D284606"/>
    <w:rsid w:val="6D6809E7"/>
    <w:rsid w:val="6E653809"/>
    <w:rsid w:val="6E7156DE"/>
    <w:rsid w:val="6EE865F5"/>
    <w:rsid w:val="6EF37A14"/>
    <w:rsid w:val="6EF435B1"/>
    <w:rsid w:val="6F0E3202"/>
    <w:rsid w:val="6F40144B"/>
    <w:rsid w:val="6F5D12A8"/>
    <w:rsid w:val="6F5D3D93"/>
    <w:rsid w:val="6F65304D"/>
    <w:rsid w:val="6F8654C7"/>
    <w:rsid w:val="6F8A087A"/>
    <w:rsid w:val="700F69CF"/>
    <w:rsid w:val="70412DF7"/>
    <w:rsid w:val="70A040DF"/>
    <w:rsid w:val="70D01FC6"/>
    <w:rsid w:val="70DE757D"/>
    <w:rsid w:val="70F7196B"/>
    <w:rsid w:val="70F9794B"/>
    <w:rsid w:val="71266762"/>
    <w:rsid w:val="71530273"/>
    <w:rsid w:val="716C03FD"/>
    <w:rsid w:val="718175CF"/>
    <w:rsid w:val="719B56EF"/>
    <w:rsid w:val="721C4B98"/>
    <w:rsid w:val="722460BC"/>
    <w:rsid w:val="72494370"/>
    <w:rsid w:val="725344A6"/>
    <w:rsid w:val="728B04B0"/>
    <w:rsid w:val="734063D7"/>
    <w:rsid w:val="73BE3773"/>
    <w:rsid w:val="73D40EB9"/>
    <w:rsid w:val="73EA0412"/>
    <w:rsid w:val="743B7255"/>
    <w:rsid w:val="744F6272"/>
    <w:rsid w:val="747A55EE"/>
    <w:rsid w:val="74CF7434"/>
    <w:rsid w:val="74EB444A"/>
    <w:rsid w:val="751709BA"/>
    <w:rsid w:val="754E33EF"/>
    <w:rsid w:val="757822AF"/>
    <w:rsid w:val="761816AB"/>
    <w:rsid w:val="76234F9A"/>
    <w:rsid w:val="764300E0"/>
    <w:rsid w:val="76927D17"/>
    <w:rsid w:val="76C07F9E"/>
    <w:rsid w:val="77B26ECF"/>
    <w:rsid w:val="77CD10A8"/>
    <w:rsid w:val="782D79B8"/>
    <w:rsid w:val="78C96A89"/>
    <w:rsid w:val="78DE6EDB"/>
    <w:rsid w:val="7905548E"/>
    <w:rsid w:val="791D0F01"/>
    <w:rsid w:val="79332C41"/>
    <w:rsid w:val="793770A6"/>
    <w:rsid w:val="79422CB1"/>
    <w:rsid w:val="79680C50"/>
    <w:rsid w:val="79AD3BE3"/>
    <w:rsid w:val="7A054849"/>
    <w:rsid w:val="7A843F50"/>
    <w:rsid w:val="7A913AC7"/>
    <w:rsid w:val="7A925B36"/>
    <w:rsid w:val="7AF647EC"/>
    <w:rsid w:val="7AFA6745"/>
    <w:rsid w:val="7B451228"/>
    <w:rsid w:val="7B6E2FD2"/>
    <w:rsid w:val="7B7C7FC7"/>
    <w:rsid w:val="7B9226A9"/>
    <w:rsid w:val="7BB06516"/>
    <w:rsid w:val="7BEE3229"/>
    <w:rsid w:val="7BF43E76"/>
    <w:rsid w:val="7BF81AD7"/>
    <w:rsid w:val="7C082064"/>
    <w:rsid w:val="7C355C3C"/>
    <w:rsid w:val="7C657654"/>
    <w:rsid w:val="7C6A7DC5"/>
    <w:rsid w:val="7D0238A8"/>
    <w:rsid w:val="7D2F076F"/>
    <w:rsid w:val="7D340F83"/>
    <w:rsid w:val="7D3B16E0"/>
    <w:rsid w:val="7D6E2D51"/>
    <w:rsid w:val="7D815A05"/>
    <w:rsid w:val="7D831F74"/>
    <w:rsid w:val="7DE26AB8"/>
    <w:rsid w:val="7DE7596F"/>
    <w:rsid w:val="7E790196"/>
    <w:rsid w:val="7E993DCA"/>
    <w:rsid w:val="7ECD0D93"/>
    <w:rsid w:val="7EDC61FD"/>
    <w:rsid w:val="7EEB21A1"/>
    <w:rsid w:val="7EF61992"/>
    <w:rsid w:val="7F76192C"/>
    <w:rsid w:val="7F917CB1"/>
    <w:rsid w:val="7FA626A5"/>
    <w:rsid w:val="7FDC0865"/>
    <w:rsid w:val="7FDF3025"/>
    <w:rsid w:val="7FED41DE"/>
    <w:rsid w:val="BEBED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38"/>
    <w:qFormat/>
    <w:uiPriority w:val="0"/>
    <w:pPr>
      <w:tabs>
        <w:tab w:val="left" w:pos="2155"/>
      </w:tabs>
      <w:spacing w:before="120" w:line="360" w:lineRule="auto"/>
      <w:ind w:left="2155" w:hanging="1078"/>
      <w:outlineLvl w:val="3"/>
    </w:pPr>
    <w:rPr>
      <w:rFonts w:ascii="Arial" w:eastAsia="黑体"/>
      <w:kern w:val="0"/>
      <w:sz w:val="28"/>
      <w:szCs w:val="20"/>
    </w:rPr>
  </w:style>
  <w:style w:type="paragraph" w:styleId="6">
    <w:name w:val="heading 5"/>
    <w:basedOn w:val="1"/>
    <w:next w:val="1"/>
    <w:link w:val="44"/>
    <w:qFormat/>
    <w:uiPriority w:val="0"/>
    <w:pPr>
      <w:keepNext/>
      <w:keepLines/>
      <w:spacing w:before="280" w:after="290" w:line="372"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annotation text"/>
    <w:basedOn w:val="1"/>
    <w:link w:val="46"/>
    <w:qFormat/>
    <w:uiPriority w:val="0"/>
    <w:pPr>
      <w:jc w:val="left"/>
    </w:pPr>
  </w:style>
  <w:style w:type="paragraph" w:styleId="9">
    <w:name w:val="Body Text 3"/>
    <w:basedOn w:val="1"/>
    <w:link w:val="61"/>
    <w:unhideWhenUsed/>
    <w:qFormat/>
    <w:uiPriority w:val="0"/>
    <w:pPr>
      <w:spacing w:line="500" w:lineRule="exact"/>
    </w:pPr>
    <w:rPr>
      <w:rFonts w:eastAsia="仿宋_GB2312"/>
      <w:kern w:val="0"/>
      <w:sz w:val="28"/>
      <w:szCs w:val="20"/>
    </w:rPr>
  </w:style>
  <w:style w:type="paragraph" w:styleId="10">
    <w:name w:val="Body Text"/>
    <w:basedOn w:val="1"/>
    <w:link w:val="40"/>
    <w:unhideWhenUsed/>
    <w:qFormat/>
    <w:uiPriority w:val="0"/>
    <w:rPr>
      <w:rFonts w:ascii="金山简黑体" w:hAnsi="Courier New" w:eastAsia="金山简黑体"/>
      <w:b/>
      <w:spacing w:val="-8"/>
      <w:kern w:val="0"/>
      <w:sz w:val="44"/>
      <w:szCs w:val="20"/>
    </w:rPr>
  </w:style>
  <w:style w:type="paragraph" w:styleId="11">
    <w:name w:val="Body Text Indent"/>
    <w:basedOn w:val="1"/>
    <w:link w:val="41"/>
    <w:qFormat/>
    <w:uiPriority w:val="0"/>
    <w:pPr>
      <w:spacing w:line="200" w:lineRule="exact"/>
      <w:ind w:firstLine="301"/>
    </w:pPr>
    <w:rPr>
      <w:rFonts w:ascii="宋体" w:hAnsi="Courier New"/>
      <w:spacing w:val="-4"/>
      <w:sz w:val="18"/>
      <w:szCs w:val="20"/>
    </w:rPr>
  </w:style>
  <w:style w:type="paragraph" w:styleId="12">
    <w:name w:val="List 2"/>
    <w:basedOn w:val="1"/>
    <w:qFormat/>
    <w:uiPriority w:val="0"/>
    <w:pPr>
      <w:ind w:left="100" w:leftChars="200" w:hanging="200" w:hangingChars="200"/>
    </w:pPr>
    <w:rPr>
      <w:sz w:val="28"/>
    </w:rPr>
  </w:style>
  <w:style w:type="paragraph" w:styleId="13">
    <w:name w:val="Plain Text"/>
    <w:basedOn w:val="1"/>
    <w:link w:val="52"/>
    <w:qFormat/>
    <w:uiPriority w:val="0"/>
    <w:rPr>
      <w:rFonts w:ascii="宋体" w:hAnsi="Courier New"/>
      <w:szCs w:val="20"/>
    </w:rPr>
  </w:style>
  <w:style w:type="paragraph" w:styleId="14">
    <w:name w:val="Date"/>
    <w:basedOn w:val="1"/>
    <w:next w:val="1"/>
    <w:link w:val="53"/>
    <w:qFormat/>
    <w:uiPriority w:val="0"/>
    <w:pPr>
      <w:ind w:left="100" w:leftChars="2500"/>
    </w:p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qFormat/>
    <w:uiPriority w:val="0"/>
    <w:rPr>
      <w:sz w:val="18"/>
      <w:szCs w:val="18"/>
    </w:rPr>
  </w:style>
  <w:style w:type="paragraph" w:styleId="17">
    <w:name w:val="footer"/>
    <w:basedOn w:val="1"/>
    <w:link w:val="60"/>
    <w:qFormat/>
    <w:uiPriority w:val="99"/>
    <w:pPr>
      <w:tabs>
        <w:tab w:val="center" w:pos="4153"/>
        <w:tab w:val="right" w:pos="8306"/>
      </w:tabs>
      <w:snapToGrid w:val="0"/>
      <w:jc w:val="left"/>
    </w:pPr>
    <w:rPr>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b/>
      <w:bCs/>
      <w:caps/>
      <w:sz w:val="20"/>
      <w:szCs w:val="20"/>
    </w:rPr>
  </w:style>
  <w:style w:type="paragraph" w:styleId="20">
    <w:name w:val="Subtitle"/>
    <w:basedOn w:val="1"/>
    <w:next w:val="1"/>
    <w:link w:val="58"/>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semiHidden/>
    <w:qFormat/>
    <w:uiPriority w:val="0"/>
    <w:pPr>
      <w:snapToGrid w:val="0"/>
      <w:jc w:val="left"/>
    </w:pPr>
    <w:rPr>
      <w:sz w:val="18"/>
      <w:szCs w:val="18"/>
    </w:rPr>
  </w:style>
  <w:style w:type="paragraph" w:styleId="22">
    <w:name w:val="toc 2"/>
    <w:basedOn w:val="1"/>
    <w:next w:val="1"/>
    <w:qFormat/>
    <w:uiPriority w:val="39"/>
    <w:pPr>
      <w:tabs>
        <w:tab w:val="right" w:leader="dot" w:pos="9628"/>
      </w:tabs>
      <w:ind w:left="420" w:firstLine="120"/>
      <w:jc w:val="left"/>
    </w:pPr>
    <w:rPr>
      <w:smallCaps/>
      <w:sz w:val="20"/>
      <w:szCs w:val="20"/>
    </w:rPr>
  </w:style>
  <w:style w:type="paragraph" w:styleId="23">
    <w:name w:val="Body Text 2"/>
    <w:basedOn w:val="1"/>
    <w:link w:val="49"/>
    <w:unhideWhenUsed/>
    <w:qFormat/>
    <w:uiPriority w:val="0"/>
    <w:pPr>
      <w:jc w:val="center"/>
    </w:pPr>
    <w:rPr>
      <w:rFonts w:hAnsi="宋体"/>
      <w:kern w:val="0"/>
      <w:sz w:val="20"/>
    </w:rPr>
  </w:style>
  <w:style w:type="paragraph" w:styleId="24">
    <w:name w:val="HTML Preformatted"/>
    <w:basedOn w:val="1"/>
    <w:link w:val="5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qFormat/>
    <w:uiPriority w:val="0"/>
    <w:pPr>
      <w:spacing w:beforeLines="30" w:afterLines="30" w:line="360" w:lineRule="auto"/>
      <w:jc w:val="center"/>
      <w:outlineLvl w:val="0"/>
    </w:pPr>
    <w:rPr>
      <w:rFonts w:ascii="Arial" w:hAnsi="Arial"/>
      <w:b/>
      <w:bCs/>
      <w:sz w:val="32"/>
      <w:szCs w:val="32"/>
    </w:rPr>
  </w:style>
  <w:style w:type="paragraph" w:styleId="27">
    <w:name w:val="annotation subject"/>
    <w:basedOn w:val="8"/>
    <w:next w:val="8"/>
    <w:link w:val="45"/>
    <w:qFormat/>
    <w:uiPriority w:val="0"/>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Char Char7"/>
    <w:qFormat/>
    <w:locked/>
    <w:uiPriority w:val="0"/>
    <w:rPr>
      <w:rFonts w:ascii="宋体" w:hAnsi="宋体" w:eastAsia="宋体"/>
      <w:sz w:val="24"/>
      <w:lang w:bidi="ar-SA"/>
    </w:rPr>
  </w:style>
  <w:style w:type="character" w:customStyle="1" w:styleId="38">
    <w:name w:val="标题 4 字符"/>
    <w:link w:val="5"/>
    <w:semiHidden/>
    <w:qFormat/>
    <w:uiPriority w:val="0"/>
    <w:rPr>
      <w:rFonts w:ascii="Arial" w:eastAsia="黑体"/>
      <w:sz w:val="28"/>
      <w:lang w:val="en-US" w:eastAsia="zh-CN" w:bidi="ar-SA"/>
    </w:rPr>
  </w:style>
  <w:style w:type="character" w:customStyle="1" w:styleId="39">
    <w:name w:val="页眉 字符"/>
    <w:link w:val="18"/>
    <w:semiHidden/>
    <w:qFormat/>
    <w:uiPriority w:val="0"/>
    <w:rPr>
      <w:rFonts w:eastAsia="宋体"/>
      <w:kern w:val="2"/>
      <w:sz w:val="18"/>
      <w:szCs w:val="18"/>
      <w:lang w:val="en-US" w:eastAsia="zh-CN" w:bidi="ar-SA"/>
    </w:rPr>
  </w:style>
  <w:style w:type="character" w:customStyle="1" w:styleId="40">
    <w:name w:val="正文文本 字符"/>
    <w:link w:val="10"/>
    <w:semiHidden/>
    <w:qFormat/>
    <w:uiPriority w:val="0"/>
    <w:rPr>
      <w:rFonts w:ascii="金山简黑体" w:hAnsi="Courier New" w:eastAsia="金山简黑体"/>
      <w:b/>
      <w:spacing w:val="-8"/>
      <w:sz w:val="44"/>
      <w:lang w:bidi="ar-SA"/>
    </w:rPr>
  </w:style>
  <w:style w:type="character" w:customStyle="1" w:styleId="41">
    <w:name w:val="正文文本缩进 字符"/>
    <w:link w:val="11"/>
    <w:qFormat/>
    <w:locked/>
    <w:uiPriority w:val="0"/>
    <w:rPr>
      <w:rFonts w:ascii="宋体" w:hAnsi="Courier New"/>
      <w:spacing w:val="-4"/>
      <w:kern w:val="2"/>
      <w:sz w:val="18"/>
    </w:rPr>
  </w:style>
  <w:style w:type="character" w:customStyle="1" w:styleId="42">
    <w:name w:val="op-map-singlepoint-info-right"/>
    <w:basedOn w:val="30"/>
    <w:qFormat/>
    <w:uiPriority w:val="0"/>
  </w:style>
  <w:style w:type="character" w:customStyle="1" w:styleId="43">
    <w:name w:val="标题 2 字符"/>
    <w:link w:val="3"/>
    <w:semiHidden/>
    <w:qFormat/>
    <w:uiPriority w:val="0"/>
    <w:rPr>
      <w:rFonts w:ascii="Arial" w:hAnsi="Arial" w:eastAsia="黑体"/>
      <w:b/>
      <w:bCs/>
      <w:kern w:val="2"/>
      <w:sz w:val="32"/>
      <w:szCs w:val="32"/>
      <w:lang w:val="en-US" w:eastAsia="zh-CN" w:bidi="ar-SA"/>
    </w:rPr>
  </w:style>
  <w:style w:type="character" w:customStyle="1" w:styleId="44">
    <w:name w:val="标题 5 字符"/>
    <w:link w:val="6"/>
    <w:qFormat/>
    <w:uiPriority w:val="0"/>
    <w:rPr>
      <w:rFonts w:eastAsia="宋体"/>
      <w:b/>
      <w:bCs/>
      <w:kern w:val="2"/>
      <w:sz w:val="28"/>
      <w:szCs w:val="28"/>
      <w:lang w:val="en-US" w:eastAsia="zh-CN" w:bidi="ar-SA"/>
    </w:rPr>
  </w:style>
  <w:style w:type="character" w:customStyle="1" w:styleId="45">
    <w:name w:val="批注主题 字符"/>
    <w:basedOn w:val="46"/>
    <w:link w:val="27"/>
    <w:qFormat/>
    <w:uiPriority w:val="0"/>
    <w:rPr>
      <w:kern w:val="2"/>
      <w:sz w:val="21"/>
      <w:szCs w:val="24"/>
    </w:rPr>
  </w:style>
  <w:style w:type="character" w:customStyle="1" w:styleId="46">
    <w:name w:val="批注文字 字符"/>
    <w:link w:val="8"/>
    <w:qFormat/>
    <w:uiPriority w:val="0"/>
    <w:rPr>
      <w:kern w:val="2"/>
      <w:sz w:val="21"/>
      <w:szCs w:val="24"/>
    </w:rPr>
  </w:style>
  <w:style w:type="character" w:customStyle="1" w:styleId="47">
    <w:name w:val="纯文本 Char1"/>
    <w:qFormat/>
    <w:uiPriority w:val="0"/>
    <w:rPr>
      <w:rFonts w:ascii="宋体" w:hAnsi="Courier New" w:eastAsia="宋体"/>
      <w:kern w:val="2"/>
      <w:sz w:val="21"/>
      <w:lang w:val="en-US" w:eastAsia="zh-CN" w:bidi="ar-SA"/>
    </w:rPr>
  </w:style>
  <w:style w:type="character" w:customStyle="1" w:styleId="48">
    <w:name w:val="op-map-singlepoint-info-right1"/>
    <w:basedOn w:val="30"/>
    <w:qFormat/>
    <w:uiPriority w:val="0"/>
  </w:style>
  <w:style w:type="character" w:customStyle="1" w:styleId="49">
    <w:name w:val="正文文本 2 字符"/>
    <w:link w:val="23"/>
    <w:semiHidden/>
    <w:qFormat/>
    <w:uiPriority w:val="0"/>
    <w:rPr>
      <w:rFonts w:hAnsi="宋体" w:eastAsia="宋体"/>
      <w:szCs w:val="24"/>
      <w:lang w:bidi="ar-SA"/>
    </w:rPr>
  </w:style>
  <w:style w:type="character" w:customStyle="1" w:styleId="50">
    <w:name w:val="普通文字 Char Char1"/>
    <w:qFormat/>
    <w:uiPriority w:val="0"/>
    <w:rPr>
      <w:rFonts w:ascii="宋体" w:hAnsi="Courier New" w:eastAsia="宋体"/>
      <w:kern w:val="2"/>
      <w:sz w:val="21"/>
      <w:lang w:val="en-US" w:eastAsia="zh-CN" w:bidi="ar-SA"/>
    </w:rPr>
  </w:style>
  <w:style w:type="character" w:customStyle="1" w:styleId="51">
    <w:name w:val="apple-converted-space"/>
    <w:basedOn w:val="30"/>
    <w:qFormat/>
    <w:uiPriority w:val="0"/>
  </w:style>
  <w:style w:type="character" w:customStyle="1" w:styleId="52">
    <w:name w:val="纯文本 字符"/>
    <w:link w:val="13"/>
    <w:qFormat/>
    <w:uiPriority w:val="0"/>
    <w:rPr>
      <w:rFonts w:ascii="宋体" w:hAnsi="Courier New" w:eastAsia="宋体"/>
      <w:kern w:val="2"/>
      <w:sz w:val="21"/>
      <w:lang w:val="en-US" w:eastAsia="zh-CN" w:bidi="ar-SA"/>
    </w:rPr>
  </w:style>
  <w:style w:type="character" w:customStyle="1" w:styleId="53">
    <w:name w:val="日期 字符"/>
    <w:link w:val="14"/>
    <w:semiHidden/>
    <w:qFormat/>
    <w:uiPriority w:val="0"/>
    <w:rPr>
      <w:rFonts w:eastAsia="宋体"/>
      <w:kern w:val="2"/>
      <w:sz w:val="21"/>
      <w:szCs w:val="24"/>
      <w:lang w:val="en-US" w:eastAsia="zh-CN" w:bidi="ar-SA"/>
    </w:rPr>
  </w:style>
  <w:style w:type="character" w:customStyle="1" w:styleId="54">
    <w:name w:val="正文文本缩进 2 字符"/>
    <w:link w:val="15"/>
    <w:semiHidden/>
    <w:qFormat/>
    <w:uiPriority w:val="0"/>
    <w:rPr>
      <w:rFonts w:eastAsia="宋体"/>
      <w:kern w:val="2"/>
      <w:sz w:val="21"/>
      <w:szCs w:val="24"/>
      <w:lang w:val="en-US" w:eastAsia="zh-CN" w:bidi="ar-SA"/>
    </w:rPr>
  </w:style>
  <w:style w:type="character" w:customStyle="1" w:styleId="55">
    <w:name w:val="标题 1 字符"/>
    <w:link w:val="2"/>
    <w:qFormat/>
    <w:uiPriority w:val="0"/>
    <w:rPr>
      <w:rFonts w:eastAsia="宋体"/>
      <w:b/>
      <w:bCs/>
      <w:kern w:val="44"/>
      <w:sz w:val="44"/>
      <w:szCs w:val="44"/>
      <w:lang w:val="en-US" w:eastAsia="zh-CN" w:bidi="ar-SA"/>
    </w:rPr>
  </w:style>
  <w:style w:type="character" w:customStyle="1" w:styleId="56">
    <w:name w:val="HTML 预设格式 字符"/>
    <w:link w:val="24"/>
    <w:semiHidden/>
    <w:qFormat/>
    <w:uiPriority w:val="0"/>
    <w:rPr>
      <w:rFonts w:ascii="宋体" w:hAnsi="宋体" w:eastAsia="宋体"/>
      <w:sz w:val="24"/>
      <w:szCs w:val="24"/>
      <w:lang w:bidi="ar-SA"/>
    </w:rPr>
  </w:style>
  <w:style w:type="character" w:customStyle="1" w:styleId="57">
    <w:name w:val="标题 3 字符"/>
    <w:link w:val="4"/>
    <w:semiHidden/>
    <w:qFormat/>
    <w:uiPriority w:val="0"/>
    <w:rPr>
      <w:rFonts w:eastAsia="宋体"/>
      <w:b/>
      <w:bCs/>
      <w:kern w:val="2"/>
      <w:sz w:val="32"/>
      <w:szCs w:val="32"/>
      <w:lang w:val="en-US" w:eastAsia="zh-CN" w:bidi="ar-SA"/>
    </w:rPr>
  </w:style>
  <w:style w:type="character" w:customStyle="1" w:styleId="58">
    <w:name w:val="副标题 字符"/>
    <w:link w:val="20"/>
    <w:qFormat/>
    <w:uiPriority w:val="0"/>
    <w:rPr>
      <w:rFonts w:ascii="Cambria" w:hAnsi="Cambria" w:eastAsia="宋体"/>
      <w:b/>
      <w:bCs/>
      <w:kern w:val="28"/>
      <w:sz w:val="32"/>
      <w:szCs w:val="32"/>
      <w:lang w:val="en-US" w:eastAsia="zh-CN" w:bidi="ar-SA"/>
    </w:rPr>
  </w:style>
  <w:style w:type="character" w:customStyle="1" w:styleId="59">
    <w:name w:val="批注文字 Char1"/>
    <w:semiHidden/>
    <w:qFormat/>
    <w:locked/>
    <w:uiPriority w:val="0"/>
    <w:rPr>
      <w:kern w:val="2"/>
      <w:sz w:val="21"/>
      <w:szCs w:val="24"/>
    </w:rPr>
  </w:style>
  <w:style w:type="character" w:customStyle="1" w:styleId="60">
    <w:name w:val="页脚 字符"/>
    <w:link w:val="17"/>
    <w:qFormat/>
    <w:uiPriority w:val="99"/>
    <w:rPr>
      <w:rFonts w:eastAsia="宋体"/>
      <w:kern w:val="2"/>
      <w:sz w:val="18"/>
      <w:szCs w:val="18"/>
      <w:lang w:val="en-US" w:eastAsia="zh-CN" w:bidi="ar-SA"/>
    </w:rPr>
  </w:style>
  <w:style w:type="character" w:customStyle="1" w:styleId="61">
    <w:name w:val="正文文本 3 字符"/>
    <w:link w:val="9"/>
    <w:semiHidden/>
    <w:qFormat/>
    <w:uiPriority w:val="0"/>
    <w:rPr>
      <w:rFonts w:eastAsia="仿宋_GB2312"/>
      <w:sz w:val="28"/>
      <w:lang w:bidi="ar-SA"/>
    </w:rPr>
  </w:style>
  <w:style w:type="paragraph" w:customStyle="1" w:styleId="62">
    <w:name w:val="layout_standard"/>
    <w:basedOn w:val="21"/>
    <w:qFormat/>
    <w:uiPriority w:val="0"/>
    <w:pPr>
      <w:widowControl/>
      <w:snapToGrid/>
    </w:pPr>
    <w:rPr>
      <w:rFonts w:ascii="Arial" w:hAnsi="Arial"/>
      <w:b/>
      <w:kern w:val="0"/>
      <w:sz w:val="36"/>
      <w:szCs w:val="20"/>
      <w:lang w:val="en-GB" w:eastAsia="de-DE"/>
    </w:rPr>
  </w:style>
  <w:style w:type="paragraph" w:customStyle="1" w:styleId="63">
    <w:name w:val="Char Char Char Char Char Char Char Char Char Char Char Char"/>
    <w:basedOn w:val="1"/>
    <w:qFormat/>
    <w:uiPriority w:val="0"/>
    <w:pPr>
      <w:widowControl/>
      <w:spacing w:after="160" w:line="240" w:lineRule="exact"/>
      <w:jc w:val="left"/>
    </w:pPr>
  </w:style>
  <w:style w:type="paragraph" w:customStyle="1" w:styleId="64">
    <w:name w:val="Char Char Char Char Char Char Char"/>
    <w:basedOn w:val="1"/>
    <w:qFormat/>
    <w:uiPriority w:val="0"/>
  </w:style>
  <w:style w:type="paragraph" w:customStyle="1" w:styleId="65">
    <w:name w:val="layout_Position"/>
    <w:basedOn w:val="1"/>
    <w:qFormat/>
    <w:uiPriority w:val="0"/>
    <w:pPr>
      <w:widowControl/>
      <w:jc w:val="left"/>
    </w:pPr>
    <w:rPr>
      <w:rFonts w:ascii="Arial" w:hAnsi="Arial" w:eastAsia="Times New Roman"/>
      <w:kern w:val="0"/>
      <w:sz w:val="22"/>
      <w:szCs w:val="20"/>
      <w:lang w:val="en-GB" w:eastAsia="de-DE"/>
    </w:rPr>
  </w:style>
  <w:style w:type="paragraph" w:customStyle="1" w:styleId="66">
    <w:name w:val="p0"/>
    <w:basedOn w:val="1"/>
    <w:qFormat/>
    <w:uiPriority w:val="0"/>
    <w:pPr>
      <w:widowControl/>
    </w:pPr>
    <w:rPr>
      <w:kern w:val="0"/>
      <w:szCs w:val="21"/>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69">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70">
    <w:name w:val="Table Text"/>
    <w:basedOn w:val="1"/>
    <w:qFormat/>
    <w:uiPriority w:val="99"/>
    <w:pPr>
      <w:widowControl/>
      <w:spacing w:before="60" w:after="60"/>
      <w:jc w:val="center"/>
    </w:pPr>
    <w:rPr>
      <w:kern w:val="0"/>
      <w:sz w:val="24"/>
      <w:lang w:eastAsia="en-US"/>
    </w:rPr>
  </w:style>
  <w:style w:type="paragraph" w:customStyle="1" w:styleId="71">
    <w:name w:val="列出段落1"/>
    <w:basedOn w:val="1"/>
    <w:qFormat/>
    <w:uiPriority w:val="0"/>
    <w:pPr>
      <w:ind w:firstLine="420" w:firstLineChars="200"/>
    </w:pPr>
    <w:rPr>
      <w:rFonts w:ascii="Calibri" w:hAnsi="Calibri"/>
      <w:szCs w:val="22"/>
    </w:rPr>
  </w:style>
  <w:style w:type="paragraph" w:customStyle="1" w:styleId="72">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73">
    <w:name w:val="Formatvorlage layout_standard + 10 pt Zentriert"/>
    <w:basedOn w:val="62"/>
    <w:qFormat/>
    <w:uiPriority w:val="0"/>
    <w:pPr>
      <w:jc w:val="center"/>
    </w:pPr>
    <w:rPr>
      <w:rFonts w:eastAsia="Times New Roman"/>
      <w:bCs/>
      <w:sz w:val="22"/>
    </w:rPr>
  </w:style>
  <w:style w:type="paragraph" w:customStyle="1" w:styleId="74">
    <w:name w:val="55"/>
    <w:basedOn w:val="1"/>
    <w:qFormat/>
    <w:uiPriority w:val="0"/>
    <w:pPr>
      <w:spacing w:line="500" w:lineRule="exact"/>
      <w:ind w:firstLine="629"/>
    </w:pPr>
    <w:rPr>
      <w:rFonts w:ascii="仿宋_GB2312" w:eastAsia="仿宋_GB2312"/>
      <w:sz w:val="28"/>
      <w:szCs w:val="28"/>
    </w:rPr>
  </w:style>
  <w:style w:type="paragraph" w:customStyle="1" w:styleId="75">
    <w:name w:val="Formatvorlage layout_standard + 10 pt"/>
    <w:basedOn w:val="62"/>
    <w:qFormat/>
    <w:uiPriority w:val="0"/>
    <w:rPr>
      <w:bCs/>
      <w:sz w:val="22"/>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styleId="77">
    <w:name w:val="List Paragraph"/>
    <w:basedOn w:val="1"/>
    <w:qFormat/>
    <w:uiPriority w:val="34"/>
    <w:pPr>
      <w:ind w:firstLine="420" w:firstLineChars="200"/>
    </w:pPr>
    <w:rPr>
      <w:rFonts w:ascii="Calibri" w:hAnsi="Calibri"/>
      <w:szCs w:val="22"/>
    </w:rPr>
  </w:style>
  <w:style w:type="paragraph" w:customStyle="1" w:styleId="78">
    <w:name w:val="font5"/>
    <w:basedOn w:val="1"/>
    <w:qFormat/>
    <w:uiPriority w:val="0"/>
    <w:pPr>
      <w:widowControl/>
      <w:numPr>
        <w:ilvl w:val="0"/>
        <w:numId w:val="1"/>
      </w:numPr>
      <w:spacing w:before="100" w:beforeAutospacing="1" w:after="100" w:afterAutospacing="1"/>
      <w:ind w:left="0" w:firstLine="0"/>
      <w:jc w:val="left"/>
    </w:pPr>
    <w:rPr>
      <w:rFonts w:ascii="宋体" w:hAnsi="宋体" w:cs="Arial Unicode MS"/>
      <w:kern w:val="0"/>
      <w:sz w:val="20"/>
      <w:szCs w:val="20"/>
    </w:rPr>
  </w:style>
  <w:style w:type="paragraph" w:customStyle="1" w:styleId="79">
    <w:name w:val="表右齐"/>
    <w:basedOn w:val="1"/>
    <w:qFormat/>
    <w:uiPriority w:val="0"/>
    <w:pPr>
      <w:autoSpaceDE w:val="0"/>
      <w:autoSpaceDN w:val="0"/>
      <w:ind w:left="720" w:right="332"/>
      <w:jc w:val="right"/>
    </w:pPr>
    <w:rPr>
      <w:rFonts w:hAnsi="Arial"/>
      <w:kern w:val="0"/>
      <w:szCs w:val="20"/>
    </w:rPr>
  </w:style>
  <w:style w:type="paragraph" w:customStyle="1" w:styleId="80">
    <w:name w:val="表格文字"/>
    <w:basedOn w:val="1"/>
    <w:qFormat/>
    <w:uiPriority w:val="0"/>
    <w:pPr>
      <w:spacing w:before="25" w:after="25" w:line="240" w:lineRule="auto"/>
      <w:jc w:val="left"/>
    </w:pPr>
    <w:rPr>
      <w:rFonts w:ascii="Dutch" w:hAnsi="Dutch"/>
      <w:bCs/>
      <w:spacing w:val="10"/>
      <w:kern w:val="0"/>
      <w:sz w:val="24"/>
    </w:rPr>
  </w:style>
  <w:style w:type="character" w:styleId="81">
    <w:name w:val="Placeholder Text"/>
    <w:basedOn w:val="30"/>
    <w:unhideWhenUsed/>
    <w:qFormat/>
    <w:uiPriority w:val="99"/>
    <w:rPr>
      <w:color w:val="808080"/>
    </w:rPr>
  </w:style>
  <w:style w:type="paragraph" w:customStyle="1" w:styleId="8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3">
    <w:name w:val="1"/>
    <w:basedOn w:val="1"/>
    <w:next w:val="1"/>
    <w:qFormat/>
    <w:uiPriority w:val="0"/>
    <w:pPr>
      <w:adjustRightInd/>
      <w:spacing w:afterLines="50" w:line="360" w:lineRule="auto"/>
      <w:ind w:firstLine="3243" w:firstLineChars="1080"/>
      <w:textAlignment w:val="auto"/>
    </w:pPr>
    <w:rPr>
      <w:rFonts w:ascii="宋体" w:hAnsi="宋体"/>
      <w:b/>
      <w:sz w:val="30"/>
      <w:szCs w:val="21"/>
    </w:rPr>
  </w:style>
  <w:style w:type="paragraph" w:customStyle="1" w:styleId="84">
    <w:name w:val="Default"/>
    <w:next w:val="2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Body text|1"/>
    <w:basedOn w:val="1"/>
    <w:qFormat/>
    <w:uiPriority w:val="0"/>
    <w:pPr>
      <w:adjustRightInd/>
      <w:spacing w:line="420" w:lineRule="auto"/>
      <w:ind w:firstLine="400"/>
      <w:textAlignment w:val="auto"/>
    </w:pPr>
    <w:rPr>
      <w:rFonts w:ascii="宋体" w:hAnsi="宋体" w:cs="宋体"/>
      <w:sz w:val="22"/>
      <w:szCs w:val="22"/>
      <w:lang w:val="zh-TW" w:eastAsia="zh-TW" w:bidi="zh-TW"/>
    </w:rPr>
  </w:style>
  <w:style w:type="paragraph" w:customStyle="1" w:styleId="8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w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10769</Words>
  <Characters>11309</Characters>
  <Lines>942</Lines>
  <Paragraphs>817</Paragraphs>
  <TotalTime>4483</TotalTime>
  <ScaleCrop>false</ScaleCrop>
  <LinksUpToDate>false</LinksUpToDate>
  <CharactersWithSpaces>21261</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2018-12-18T14:55:00Z</dcterms:created>
  <dc:creator>丁琳</dc:creator>
  <cp:lastModifiedBy>lucy</cp:lastModifiedBy>
  <cp:lastPrinted>2019-01-08T09:07:00Z</cp:lastPrinted>
  <dcterms:modified xsi:type="dcterms:W3CDTF">2025-06-13T19:05:03Z</dcterms:modified>
  <dc:title>南财采管〔2012〕3号</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E3E3526ABEB8BFF4DF054C688722F0AF_43</vt:lpwstr>
  </property>
  <property fmtid="{D5CDD505-2E9C-101B-9397-08002B2CF9AE}" pid="4" name="KSOTemplateDocerSaveRecord">
    <vt:lpwstr>eyJoZGlkIjoiMjliNThhMjU0NGMzMGNkZGY0MWM5YmMzNThhZjg3OTEiLCJ1c2VySWQiOiIyNzc5NTg1OTAifQ==</vt:lpwstr>
  </property>
</Properties>
</file>